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069D" w14:textId="77777777" w:rsidR="008C43A9" w:rsidRPr="008C43A9" w:rsidRDefault="008C43A9" w:rsidP="008C43A9">
      <w:pPr>
        <w:spacing w:after="0" w:line="240" w:lineRule="auto"/>
        <w:jc w:val="both"/>
        <w:rPr>
          <w:rFonts w:ascii="Times New Roman" w:eastAsia="Calibri" w:hAnsi="Times New Roman" w:cs="Times New Roman"/>
          <w:b/>
          <w:color w:val="0000CC"/>
          <w:u w:val="single"/>
          <w:lang w:val="en-CA"/>
        </w:rPr>
      </w:pPr>
      <w:r w:rsidRPr="008C43A9">
        <w:rPr>
          <w:rFonts w:ascii="Times New Roman" w:eastAsia="Calibri" w:hAnsi="Times New Roman" w:cs="Times New Roman"/>
          <w:b/>
          <w:color w:val="0000CC"/>
          <w:u w:val="single"/>
          <w:lang w:val="en-CA"/>
        </w:rPr>
        <w:t xml:space="preserve">STANDARD 12: MEDICAL STUDENT HEALTH SERVICES, PERSONAL COUNSELLING, AND FINANCIAL AID SERVICES </w:t>
      </w:r>
    </w:p>
    <w:p w14:paraId="6992832F" w14:textId="77777777" w:rsidR="008C43A9" w:rsidRPr="008C43A9" w:rsidRDefault="008C43A9" w:rsidP="008C43A9">
      <w:pPr>
        <w:spacing w:after="0" w:line="240" w:lineRule="auto"/>
        <w:jc w:val="both"/>
        <w:rPr>
          <w:rFonts w:ascii="Times New Roman" w:eastAsia="Calibri" w:hAnsi="Times New Roman" w:cs="Times New Roman"/>
          <w:b/>
          <w:color w:val="0000CC"/>
          <w:lang w:val="en-CA"/>
        </w:rPr>
      </w:pPr>
      <w:r w:rsidRPr="008C43A9">
        <w:rPr>
          <w:rFonts w:ascii="Times New Roman" w:eastAsia="Calibri" w:hAnsi="Times New Roman" w:cs="Times New Roman"/>
          <w:b/>
          <w:color w:val="0000CC"/>
          <w:lang w:val="en-CA"/>
        </w:rPr>
        <w:t>A medical school provides effective student services to all medical students to assist them in achieving the program’s goals for its students. All medical students have the same rights and receive comparable services.</w:t>
      </w:r>
    </w:p>
    <w:p w14:paraId="34BF8D39" w14:textId="77777777" w:rsidR="008C43A9" w:rsidRPr="008C43A9" w:rsidRDefault="008C43A9" w:rsidP="008C43A9">
      <w:pPr>
        <w:spacing w:after="0" w:line="240" w:lineRule="auto"/>
        <w:jc w:val="both"/>
        <w:rPr>
          <w:rFonts w:ascii="Times New Roman" w:eastAsia="Calibri" w:hAnsi="Times New Roman" w:cs="Times New Roman"/>
          <w:b/>
          <w:color w:val="0000CC"/>
          <w:lang w:val="en-CA"/>
        </w:rPr>
      </w:pPr>
    </w:p>
    <w:p w14:paraId="339993CE"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bookmarkStart w:id="0" w:name="_Hlk90998812"/>
      <w:r w:rsidRPr="008C43A9">
        <w:rPr>
          <w:rFonts w:ascii="Times New Roman" w:eastAsia="Calibri" w:hAnsi="Times New Roman" w:cs="Times New Roman"/>
          <w:b/>
          <w:i/>
          <w:color w:val="0000CC"/>
          <w:sz w:val="20"/>
          <w:szCs w:val="20"/>
          <w:lang w:val="en-CA"/>
        </w:rPr>
        <w:t>12.1 FINANCIAL AID / DEBT MANAGEMENT COUNSELLING/ STUDENT EDUCATIONAL DEBT</w:t>
      </w:r>
    </w:p>
    <w:p w14:paraId="25C82658"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0A73D603"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18E5F4FA"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bookmarkStart w:id="1" w:name="_Hlk95209138"/>
      <w:r w:rsidRPr="008C43A9">
        <w:rPr>
          <w:rFonts w:ascii="Times New Roman" w:eastAsia="Calibri" w:hAnsi="Times New Roman" w:cs="Times New Roman"/>
          <w:b/>
          <w:i/>
          <w:sz w:val="20"/>
          <w:szCs w:val="20"/>
          <w:u w:val="single"/>
          <w:lang w:val="en-CA"/>
        </w:rPr>
        <w:t>Requirement 12.1-1</w:t>
      </w:r>
    </w:p>
    <w:p w14:paraId="48F3E406"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provides its medical students with effective financial aid counselling.</w:t>
      </w:r>
    </w:p>
    <w:p w14:paraId="4F7FA5C7"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F0796D6" w14:textId="77777777" w:rsidR="008C43A9" w:rsidRPr="008C43A9" w:rsidRDefault="008C43A9" w:rsidP="008C43A9">
      <w:pPr>
        <w:numPr>
          <w:ilvl w:val="0"/>
          <w:numId w:val="6"/>
        </w:numPr>
        <w:spacing w:after="0" w:line="240" w:lineRule="auto"/>
        <w:contextualSpacing/>
        <w:jc w:val="both"/>
        <w:rPr>
          <w:rFonts w:ascii="Times New Roman" w:eastAsia="Calibri" w:hAnsi="Times New Roman" w:cs="Times New Roman"/>
          <w:bCs/>
          <w:iCs/>
          <w:color w:val="0000CC"/>
          <w:sz w:val="20"/>
          <w:szCs w:val="20"/>
          <w:lang w:val="en-CA"/>
        </w:rPr>
      </w:pPr>
      <w:bookmarkStart w:id="2" w:name="_Hlk66706933"/>
      <w:r w:rsidRPr="008C43A9">
        <w:rPr>
          <w:rFonts w:ascii="Times New Roman" w:eastAsia="Calibri" w:hAnsi="Times New Roman" w:cs="Times New Roman"/>
          <w:bCs/>
          <w:iCs/>
          <w:color w:val="0000CC"/>
          <w:sz w:val="20"/>
          <w:szCs w:val="20"/>
          <w:lang w:val="en-CA"/>
        </w:rPr>
        <w:t>Describe how medical students are informed of financial aid counselling and its availability at each campus.</w:t>
      </w:r>
    </w:p>
    <w:p w14:paraId="11327DE4"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591447E7"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A174BF8"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ACA6E3D"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2F411D1"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85C8247" w14:textId="77777777" w:rsidR="008C43A9" w:rsidRPr="008C43A9" w:rsidRDefault="008C43A9" w:rsidP="008C43A9">
      <w:pPr>
        <w:numPr>
          <w:ilvl w:val="0"/>
          <w:numId w:val="6"/>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determines that its financial aid counselling is effective.  In your answer discuss any indicators used to determine this.</w:t>
      </w:r>
    </w:p>
    <w:bookmarkEnd w:id="2"/>
    <w:p w14:paraId="2FFEA14E"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567EFA10"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04C11A6"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14E0557"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92FB400"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6190BD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12.1-2</w:t>
      </w:r>
    </w:p>
    <w:p w14:paraId="09E8E90B" w14:textId="77777777" w:rsidR="008C43A9" w:rsidRPr="008C43A9" w:rsidRDefault="008C43A9" w:rsidP="008C43A9">
      <w:pPr>
        <w:spacing w:after="0" w:line="240" w:lineRule="auto"/>
        <w:jc w:val="both"/>
        <w:rPr>
          <w:rFonts w:ascii="Times New Roman" w:eastAsia="Calibri" w:hAnsi="Times New Roman" w:cs="Times New Roman"/>
          <w:i/>
          <w:color w:val="0000CC"/>
          <w:sz w:val="20"/>
          <w:szCs w:val="20"/>
          <w:lang w:val="en-CA"/>
        </w:rPr>
      </w:pPr>
      <w:r w:rsidRPr="008C43A9">
        <w:rPr>
          <w:rFonts w:ascii="Times New Roman" w:eastAsia="Calibri" w:hAnsi="Times New Roman" w:cs="Times New Roman"/>
          <w:i/>
          <w:sz w:val="20"/>
          <w:szCs w:val="20"/>
          <w:lang w:val="en-CA"/>
        </w:rPr>
        <w:t>The medical school provides its medical students with effective debt management counselling.</w:t>
      </w:r>
    </w:p>
    <w:p w14:paraId="4740F09C"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15B718E" w14:textId="77777777" w:rsidR="008C43A9" w:rsidRPr="008C43A9" w:rsidRDefault="008C43A9" w:rsidP="008C43A9">
      <w:pPr>
        <w:numPr>
          <w:ilvl w:val="0"/>
          <w:numId w:val="7"/>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are informed of debt management counselling and its availability at each campus.</w:t>
      </w:r>
    </w:p>
    <w:p w14:paraId="4C20291B"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8D5C675"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C2B1B39"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CC00D55"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ECC557D"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FF86D8F" w14:textId="77777777" w:rsidR="008C43A9" w:rsidRPr="008C43A9" w:rsidRDefault="008C43A9" w:rsidP="008C43A9">
      <w:pPr>
        <w:numPr>
          <w:ilvl w:val="0"/>
          <w:numId w:val="7"/>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determines that its debt management counselling is effective. In your answer discuss any indicators used to determine this.</w:t>
      </w:r>
    </w:p>
    <w:p w14:paraId="188FD5ED"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10EA9CE" w14:textId="77777777" w:rsidR="008C43A9" w:rsidRPr="008C43A9" w:rsidRDefault="008C43A9" w:rsidP="008C43A9">
      <w:pPr>
        <w:spacing w:after="160" w:line="259" w:lineRule="auto"/>
        <w:rPr>
          <w:rFonts w:ascii="Times New Roman" w:eastAsia="Calibri" w:hAnsi="Times New Roman" w:cs="Times New Roman"/>
          <w:b/>
          <w:i/>
          <w:sz w:val="20"/>
          <w:szCs w:val="20"/>
          <w:u w:val="single"/>
          <w:lang w:val="en-CA"/>
        </w:rPr>
      </w:pPr>
      <w:r w:rsidRPr="008C43A9">
        <w:rPr>
          <w:rFonts w:ascii="Times New Roman" w:eastAsia="Calibri" w:hAnsi="Times New Roman" w:cs="Times New Roman"/>
          <w:b/>
          <w:i/>
          <w:sz w:val="20"/>
          <w:szCs w:val="20"/>
          <w:u w:val="single"/>
          <w:lang w:val="en-CA"/>
        </w:rPr>
        <w:br w:type="page"/>
      </w:r>
    </w:p>
    <w:p w14:paraId="0A95335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lastRenderedPageBreak/>
        <w:t>Requirement 12.1-3</w:t>
      </w:r>
    </w:p>
    <w:p w14:paraId="18DF0226"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mechanisms in place to minimize the impact of direct educational expenses (i.e., tuition, fees, books, supplies) on medical student indebtedness.</w:t>
      </w:r>
    </w:p>
    <w:p w14:paraId="3E621D1C"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55038294"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Table 12.1-3 A</w:t>
      </w:r>
    </w:p>
    <w:p w14:paraId="02B54594" w14:textId="77777777" w:rsidR="008C43A9" w:rsidRPr="008C43A9" w:rsidRDefault="008C43A9" w:rsidP="008C43A9">
      <w:pPr>
        <w:spacing w:after="0" w:line="240" w:lineRule="auto"/>
        <w:ind w:left="720"/>
        <w:contextualSpacing/>
        <w:jc w:val="both"/>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8C43A9" w:rsidRPr="008C43A9" w14:paraId="2F5629F7" w14:textId="77777777" w:rsidTr="00853D1D">
        <w:tc>
          <w:tcPr>
            <w:tcW w:w="1418" w:type="dxa"/>
            <w:tcBorders>
              <w:top w:val="nil"/>
              <w:left w:val="nil"/>
              <w:bottom w:val="single" w:sz="4" w:space="0" w:color="auto"/>
              <w:right w:val="single" w:sz="4" w:space="0" w:color="auto"/>
            </w:tcBorders>
          </w:tcPr>
          <w:p w14:paraId="7F3B021F"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12.1-3 A</w:t>
            </w:r>
          </w:p>
        </w:tc>
        <w:tc>
          <w:tcPr>
            <w:tcW w:w="10631" w:type="dxa"/>
            <w:gridSpan w:val="11"/>
            <w:tcBorders>
              <w:top w:val="nil"/>
              <w:left w:val="single" w:sz="4" w:space="0" w:color="auto"/>
              <w:bottom w:val="single" w:sz="4" w:space="0" w:color="auto"/>
              <w:right w:val="nil"/>
            </w:tcBorders>
          </w:tcPr>
          <w:p w14:paraId="15CD6AC9"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Tuition and Fees (Core Appendix)</w:t>
            </w:r>
          </w:p>
        </w:tc>
        <w:tc>
          <w:tcPr>
            <w:tcW w:w="2351" w:type="dxa"/>
            <w:gridSpan w:val="3"/>
            <w:tcBorders>
              <w:top w:val="nil"/>
              <w:left w:val="nil"/>
              <w:bottom w:val="single" w:sz="4" w:space="0" w:color="auto"/>
              <w:right w:val="nil"/>
            </w:tcBorders>
          </w:tcPr>
          <w:p w14:paraId="04864D75"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Source: School-reported</w:t>
            </w:r>
          </w:p>
        </w:tc>
      </w:tr>
      <w:tr w:rsidR="008C43A9" w:rsidRPr="008C43A9" w14:paraId="4177A705" w14:textId="77777777" w:rsidTr="008C43A9">
        <w:tc>
          <w:tcPr>
            <w:tcW w:w="14400" w:type="dxa"/>
            <w:gridSpan w:val="15"/>
            <w:tcBorders>
              <w:top w:val="single" w:sz="4" w:space="0" w:color="auto"/>
              <w:left w:val="single" w:sz="4" w:space="0" w:color="auto"/>
              <w:bottom w:val="single" w:sz="4" w:space="0" w:color="auto"/>
              <w:right w:val="single" w:sz="4" w:space="0" w:color="auto"/>
            </w:tcBorders>
            <w:shd w:val="clear" w:color="auto" w:fill="D9D9D9"/>
          </w:tcPr>
          <w:p w14:paraId="1794C5DE"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Provide the total amount of tuition and fees charged per student for years 1 to 4 (as applicable) over the last three completed academic years </w:t>
            </w:r>
          </w:p>
        </w:tc>
      </w:tr>
      <w:tr w:rsidR="008C43A9" w:rsidRPr="008C43A9" w14:paraId="6CDBAF4C"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264F4EB3" w14:textId="77777777" w:rsidR="008C43A9" w:rsidRPr="008C43A9" w:rsidRDefault="008C43A9" w:rsidP="008C43A9">
            <w:pPr>
              <w:rPr>
                <w:rFonts w:ascii="Times New Roman" w:eastAsia="Calibri"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4B8AE15F"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c>
          <w:tcPr>
            <w:tcW w:w="3650" w:type="dxa"/>
            <w:gridSpan w:val="4"/>
            <w:tcBorders>
              <w:top w:val="single" w:sz="4" w:space="0" w:color="auto"/>
              <w:left w:val="single" w:sz="4" w:space="0" w:color="auto"/>
              <w:bottom w:val="single" w:sz="4" w:space="0" w:color="auto"/>
              <w:right w:val="single" w:sz="4" w:space="0" w:color="auto"/>
            </w:tcBorders>
          </w:tcPr>
          <w:p w14:paraId="29F4EA21"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c>
          <w:tcPr>
            <w:tcW w:w="3650" w:type="dxa"/>
            <w:gridSpan w:val="5"/>
            <w:tcBorders>
              <w:top w:val="single" w:sz="4" w:space="0" w:color="auto"/>
              <w:left w:val="single" w:sz="4" w:space="0" w:color="auto"/>
              <w:bottom w:val="single" w:sz="4" w:space="0" w:color="auto"/>
              <w:right w:val="single" w:sz="4" w:space="0" w:color="auto"/>
            </w:tcBorders>
          </w:tcPr>
          <w:p w14:paraId="33C6CE0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r>
      <w:tr w:rsidR="008C43A9" w:rsidRPr="008C43A9" w14:paraId="16763C40"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2E0EA00" w14:textId="77777777" w:rsidR="008C43A9" w:rsidRPr="008C43A9" w:rsidRDefault="008C43A9" w:rsidP="008C43A9">
            <w:pPr>
              <w:tabs>
                <w:tab w:val="left" w:pos="957"/>
              </w:tabs>
              <w:jc w:val="center"/>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Student Origin</w:t>
            </w:r>
          </w:p>
        </w:tc>
        <w:tc>
          <w:tcPr>
            <w:tcW w:w="911" w:type="dxa"/>
            <w:tcBorders>
              <w:top w:val="single" w:sz="4" w:space="0" w:color="auto"/>
              <w:left w:val="single" w:sz="4" w:space="0" w:color="auto"/>
              <w:bottom w:val="single" w:sz="4" w:space="0" w:color="auto"/>
              <w:right w:val="single" w:sz="4" w:space="0" w:color="auto"/>
            </w:tcBorders>
          </w:tcPr>
          <w:p w14:paraId="497DD15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7AD52AE1"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5EDAFAF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11DBA27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1F5627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2DCE320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5A626AD2"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0CA8D52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40705D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5C78424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C928B1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6CEE8BC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77F9DCCE"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50F211A1" w14:textId="77777777" w:rsidR="008C43A9" w:rsidRPr="008C43A9" w:rsidRDefault="008C43A9" w:rsidP="008C43A9">
            <w:pPr>
              <w:rPr>
                <w:rFonts w:ascii="Times New Roman" w:eastAsia="Calibri" w:hAnsi="Times New Roman" w:cs="Times New Roman"/>
                <w:sz w:val="19"/>
                <w:szCs w:val="19"/>
                <w:lang w:val="en-CA"/>
              </w:rPr>
            </w:pPr>
            <w:bookmarkStart w:id="3" w:name="_Hlk86678366"/>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719B380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AC1965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1FB1AF8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EA75D5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B43B7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E59A63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049393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42481D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795079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3B501AF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B26848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FB6842F"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339B280"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798D3F4"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4D08211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BE9527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10D1EB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F5FD52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A820DD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A5AD47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996AD4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4817B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66790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E2FDFF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DB0CB8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27D7D38"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06CABD29"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7819438"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511FF94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2AA862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72E8BDC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5C5B66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CF2E33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D04448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7C5865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FBFCA9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BCCD16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B8A83F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BF52D8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E0D14F" w14:textId="77777777" w:rsidR="008C43A9" w:rsidRPr="008C43A9" w:rsidRDefault="008C43A9" w:rsidP="008C43A9">
            <w:pPr>
              <w:jc w:val="center"/>
              <w:rPr>
                <w:rFonts w:ascii="Times New Roman" w:eastAsia="Calibri" w:hAnsi="Times New Roman" w:cs="Times New Roman"/>
                <w:strike/>
                <w:sz w:val="19"/>
                <w:szCs w:val="19"/>
                <w:lang w:val="en-CA"/>
              </w:rPr>
            </w:pPr>
          </w:p>
        </w:tc>
      </w:tr>
      <w:bookmarkEnd w:id="3"/>
    </w:tbl>
    <w:p w14:paraId="2AC7924E"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45448DF5"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the mechanisms in place to minimize the impact of direct educational expenses on medical student indebtedness.</w:t>
      </w:r>
    </w:p>
    <w:p w14:paraId="7206BEC0"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7D0C849"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FA047C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2EF4E8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1A5515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E2F240B"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Table 12.1-3 C</w:t>
      </w:r>
    </w:p>
    <w:p w14:paraId="118689DF"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8C43A9" w:rsidRPr="008C43A9" w14:paraId="18DE3656" w14:textId="77777777" w:rsidTr="00853D1D">
        <w:tc>
          <w:tcPr>
            <w:tcW w:w="1418" w:type="dxa"/>
            <w:tcBorders>
              <w:top w:val="nil"/>
              <w:left w:val="nil"/>
              <w:bottom w:val="single" w:sz="4" w:space="0" w:color="auto"/>
              <w:right w:val="single" w:sz="4" w:space="0" w:color="auto"/>
            </w:tcBorders>
          </w:tcPr>
          <w:p w14:paraId="7163FB9D"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12.1-3 C</w:t>
            </w:r>
          </w:p>
        </w:tc>
        <w:tc>
          <w:tcPr>
            <w:tcW w:w="10631" w:type="dxa"/>
            <w:gridSpan w:val="11"/>
            <w:tcBorders>
              <w:top w:val="nil"/>
              <w:left w:val="single" w:sz="4" w:space="0" w:color="auto"/>
              <w:bottom w:val="single" w:sz="4" w:space="0" w:color="auto"/>
              <w:right w:val="nil"/>
            </w:tcBorders>
          </w:tcPr>
          <w:p w14:paraId="23B89A71"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University or Faculty-sourced Bursaries and Loans (Core Appendix)</w:t>
            </w:r>
          </w:p>
        </w:tc>
        <w:tc>
          <w:tcPr>
            <w:tcW w:w="2351" w:type="dxa"/>
            <w:gridSpan w:val="3"/>
            <w:tcBorders>
              <w:top w:val="nil"/>
              <w:left w:val="nil"/>
              <w:bottom w:val="single" w:sz="4" w:space="0" w:color="auto"/>
              <w:right w:val="nil"/>
            </w:tcBorders>
          </w:tcPr>
          <w:p w14:paraId="7C09A3CF"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Source: School-reported</w:t>
            </w:r>
          </w:p>
        </w:tc>
      </w:tr>
      <w:tr w:rsidR="008C43A9" w:rsidRPr="008C43A9" w14:paraId="1E814358" w14:textId="77777777" w:rsidTr="008C43A9">
        <w:tc>
          <w:tcPr>
            <w:tcW w:w="14400" w:type="dxa"/>
            <w:gridSpan w:val="15"/>
            <w:tcBorders>
              <w:top w:val="single" w:sz="4" w:space="0" w:color="auto"/>
              <w:left w:val="single" w:sz="4" w:space="0" w:color="auto"/>
              <w:bottom w:val="single" w:sz="4" w:space="0" w:color="auto"/>
              <w:right w:val="single" w:sz="4" w:space="0" w:color="auto"/>
            </w:tcBorders>
            <w:shd w:val="clear" w:color="auto" w:fill="D9D9D9"/>
          </w:tcPr>
          <w:p w14:paraId="1FD737B8"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Provide the amount awarded in bursaries and extended as loans for students in years 1 to 4 (as applicable) over the last three completed academic years.</w:t>
            </w:r>
          </w:p>
        </w:tc>
      </w:tr>
      <w:tr w:rsidR="008C43A9" w:rsidRPr="008C43A9" w14:paraId="6182B48A"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00154F8" w14:textId="77777777" w:rsidR="008C43A9" w:rsidRPr="008C43A9" w:rsidRDefault="008C43A9" w:rsidP="008C43A9">
            <w:pPr>
              <w:rPr>
                <w:rFonts w:ascii="Times New Roman" w:eastAsia="Calibri"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2E258B4E" w14:textId="5818D032"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w:t>
            </w:r>
          </w:p>
        </w:tc>
        <w:tc>
          <w:tcPr>
            <w:tcW w:w="3650" w:type="dxa"/>
            <w:gridSpan w:val="4"/>
            <w:tcBorders>
              <w:top w:val="single" w:sz="4" w:space="0" w:color="auto"/>
              <w:left w:val="single" w:sz="4" w:space="0" w:color="auto"/>
              <w:bottom w:val="single" w:sz="4" w:space="0" w:color="auto"/>
              <w:right w:val="single" w:sz="4" w:space="0" w:color="auto"/>
            </w:tcBorders>
          </w:tcPr>
          <w:p w14:paraId="715E07AC" w14:textId="6D734088"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w:t>
            </w:r>
          </w:p>
        </w:tc>
        <w:tc>
          <w:tcPr>
            <w:tcW w:w="3650" w:type="dxa"/>
            <w:gridSpan w:val="5"/>
            <w:tcBorders>
              <w:top w:val="single" w:sz="4" w:space="0" w:color="auto"/>
              <w:left w:val="single" w:sz="4" w:space="0" w:color="auto"/>
              <w:bottom w:val="single" w:sz="4" w:space="0" w:color="auto"/>
              <w:right w:val="single" w:sz="4" w:space="0" w:color="auto"/>
            </w:tcBorders>
          </w:tcPr>
          <w:p w14:paraId="3F59579B" w14:textId="0F89448B"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w:t>
            </w:r>
          </w:p>
        </w:tc>
      </w:tr>
      <w:tr w:rsidR="008C43A9" w:rsidRPr="008C43A9" w14:paraId="6ABA853E"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E550D2A" w14:textId="77777777" w:rsidR="008C43A9" w:rsidRPr="008C43A9" w:rsidRDefault="008C43A9" w:rsidP="008C43A9">
            <w:pPr>
              <w:ind w:firstLine="720"/>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Aid Type by Student Origin</w:t>
            </w:r>
          </w:p>
        </w:tc>
        <w:tc>
          <w:tcPr>
            <w:tcW w:w="911" w:type="dxa"/>
            <w:tcBorders>
              <w:top w:val="single" w:sz="4" w:space="0" w:color="auto"/>
              <w:left w:val="single" w:sz="4" w:space="0" w:color="auto"/>
              <w:bottom w:val="single" w:sz="4" w:space="0" w:color="auto"/>
              <w:right w:val="single" w:sz="4" w:space="0" w:color="auto"/>
            </w:tcBorders>
          </w:tcPr>
          <w:p w14:paraId="4FE6E7D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6858E604"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357D092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18D53E57"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7C55E48"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79BEBF5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25BFDFA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4CF4AC9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618EE8C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42855A7C"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10ED1D5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738C5C3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5BCC33D5"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10967EA8" w14:textId="77777777" w:rsidR="008C43A9" w:rsidRPr="008C43A9" w:rsidRDefault="008C43A9" w:rsidP="008C43A9">
            <w:pPr>
              <w:tabs>
                <w:tab w:val="center" w:pos="1619"/>
                <w:tab w:val="left" w:pos="2020"/>
              </w:tabs>
              <w:rPr>
                <w:rFonts w:ascii="Times New Roman" w:eastAsia="Calibri" w:hAnsi="Times New Roman" w:cs="Times New Roman"/>
                <w:b/>
                <w:bCs/>
                <w:sz w:val="19"/>
                <w:szCs w:val="19"/>
                <w:lang w:val="en-CA"/>
              </w:rPr>
            </w:pPr>
            <w:r w:rsidRPr="008C43A9">
              <w:rPr>
                <w:rFonts w:ascii="Times New Roman" w:eastAsia="Calibri" w:hAnsi="Times New Roman" w:cs="Times New Roman"/>
                <w:b/>
                <w:bCs/>
                <w:sz w:val="19"/>
                <w:szCs w:val="19"/>
                <w:lang w:val="en-CA"/>
              </w:rPr>
              <w:t>Bursaries</w:t>
            </w:r>
            <w:r w:rsidRPr="008C43A9">
              <w:rPr>
                <w:rFonts w:ascii="Times New Roman" w:eastAsia="Calibri" w:hAnsi="Times New Roman" w:cs="Times New Roman"/>
                <w:b/>
                <w:bCs/>
                <w:sz w:val="19"/>
                <w:szCs w:val="19"/>
                <w:lang w:val="en-CA"/>
              </w:rPr>
              <w:tab/>
            </w:r>
            <w:r w:rsidRPr="008C43A9">
              <w:rPr>
                <w:rFonts w:ascii="Times New Roman" w:eastAsia="Calibri" w:hAnsi="Times New Roman" w:cs="Times New Roman"/>
                <w:b/>
                <w:bCs/>
                <w:sz w:val="19"/>
                <w:szCs w:val="19"/>
                <w:lang w:val="en-CA"/>
              </w:rPr>
              <w:tab/>
            </w:r>
          </w:p>
        </w:tc>
        <w:tc>
          <w:tcPr>
            <w:tcW w:w="911" w:type="dxa"/>
            <w:tcBorders>
              <w:top w:val="single" w:sz="4" w:space="0" w:color="auto"/>
              <w:left w:val="single" w:sz="4" w:space="0" w:color="auto"/>
              <w:bottom w:val="single" w:sz="4" w:space="0" w:color="auto"/>
              <w:right w:val="single" w:sz="4" w:space="0" w:color="auto"/>
            </w:tcBorders>
          </w:tcPr>
          <w:p w14:paraId="7885B26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1AA65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56C07A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C6DBC3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8DBBA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08A71C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A3AFAB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3B207A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FDBF6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488560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D596CD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AB1385D"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2EE48C6F"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3ED495F"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012496E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3BF04F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22F90F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DA23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CA1627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64C3E1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5F6A25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1BDCC7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95A2FF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3F0350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12E72B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DF4441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648ABD85"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10EC37A6" w14:textId="77777777" w:rsidR="008C43A9" w:rsidRPr="008C43A9" w:rsidRDefault="008C43A9" w:rsidP="008C43A9">
            <w:pPr>
              <w:tabs>
                <w:tab w:val="left" w:pos="1642"/>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511F8D0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273434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AE9CC6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5410D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216FE7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2E014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AF5364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C30F28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D4F49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0B927A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329B0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272AE0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5011C09A"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39959100"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39E8863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72B8D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428D78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DE2542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EC42A4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69696C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A23E20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DA22EA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1E4CB4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31566F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0DE5F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C3C4AE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DD02408"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5416C17D" w14:textId="77777777" w:rsidR="008C43A9" w:rsidRPr="008C43A9" w:rsidRDefault="008C43A9" w:rsidP="008C43A9">
            <w:pPr>
              <w:tabs>
                <w:tab w:val="center" w:pos="1619"/>
                <w:tab w:val="left" w:pos="2020"/>
              </w:tabs>
              <w:rPr>
                <w:rFonts w:ascii="Times New Roman" w:eastAsia="Calibri" w:hAnsi="Times New Roman" w:cs="Times New Roman"/>
                <w:b/>
                <w:bCs/>
                <w:sz w:val="19"/>
                <w:szCs w:val="19"/>
                <w:lang w:val="en-CA"/>
              </w:rPr>
            </w:pPr>
            <w:r w:rsidRPr="008C43A9">
              <w:rPr>
                <w:rFonts w:ascii="Times New Roman" w:eastAsia="Calibri" w:hAnsi="Times New Roman" w:cs="Times New Roman"/>
                <w:b/>
                <w:bCs/>
                <w:sz w:val="19"/>
                <w:szCs w:val="19"/>
                <w:lang w:val="en-CA"/>
              </w:rPr>
              <w:t>Loans</w:t>
            </w:r>
          </w:p>
        </w:tc>
        <w:tc>
          <w:tcPr>
            <w:tcW w:w="911" w:type="dxa"/>
            <w:tcBorders>
              <w:top w:val="single" w:sz="4" w:space="0" w:color="auto"/>
              <w:left w:val="single" w:sz="4" w:space="0" w:color="auto"/>
              <w:bottom w:val="single" w:sz="4" w:space="0" w:color="auto"/>
              <w:right w:val="single" w:sz="4" w:space="0" w:color="auto"/>
            </w:tcBorders>
          </w:tcPr>
          <w:p w14:paraId="0809C7A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A3E2D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E750D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BA150E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AA105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542236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546CD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2E1940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F8DBD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0166DE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783AD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1A9E558"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5E565E1"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7503102F" w14:textId="77777777" w:rsidR="008C43A9" w:rsidRPr="008C43A9" w:rsidRDefault="008C43A9" w:rsidP="008C43A9">
            <w:pPr>
              <w:tabs>
                <w:tab w:val="left" w:pos="527"/>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1190CDA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B2DDC1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960BA6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EDB60F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12417B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0AE604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B088B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B79B72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774823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BB3C45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80AB2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531E330"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4B88FF66"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3C82407B"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6BF07D0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3FA822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C5F62E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261871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87608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E8F149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2153D1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3D4A42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FA9F9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6DB702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B6B7F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614EB05"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4E8F2C47"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1BACB10" w14:textId="77777777" w:rsidR="008C43A9" w:rsidRPr="008C43A9" w:rsidRDefault="008C43A9" w:rsidP="008C43A9">
            <w:pPr>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560D0AF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D69892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4BE9F1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FE90E1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ACF5E8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06B365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108FC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267CB8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F81A3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3137D5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DBC41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A2F95B6" w14:textId="77777777" w:rsidR="008C43A9" w:rsidRPr="008C43A9" w:rsidRDefault="008C43A9" w:rsidP="008C43A9">
            <w:pPr>
              <w:jc w:val="center"/>
              <w:rPr>
                <w:rFonts w:ascii="Times New Roman" w:eastAsia="Calibri" w:hAnsi="Times New Roman" w:cs="Times New Roman"/>
                <w:strike/>
                <w:sz w:val="19"/>
                <w:szCs w:val="19"/>
                <w:lang w:val="en-CA"/>
              </w:rPr>
            </w:pPr>
          </w:p>
        </w:tc>
      </w:tr>
      <w:bookmarkEnd w:id="0"/>
    </w:tbl>
    <w:p w14:paraId="65A26C5E"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2324446B"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4161706C" w14:textId="77777777" w:rsidR="008C43A9" w:rsidRPr="008C43A9" w:rsidRDefault="008C43A9" w:rsidP="008C43A9">
      <w:pPr>
        <w:spacing w:after="0" w:line="240" w:lineRule="auto"/>
        <w:rPr>
          <w:rFonts w:ascii="Times New Roman" w:eastAsia="Calibri" w:hAnsi="Times New Roman" w:cs="Times New Roman"/>
          <w:sz w:val="20"/>
          <w:szCs w:val="20"/>
          <w:lang w:val="en-CA"/>
        </w:rPr>
      </w:pPr>
      <w:r w:rsidRPr="008C43A9">
        <w:rPr>
          <w:rFonts w:ascii="Times New Roman" w:eastAsia="Calibri" w:hAnsi="Times New Roman" w:cs="Times New Roman"/>
          <w:sz w:val="20"/>
          <w:szCs w:val="20"/>
          <w:lang w:val="en-CA"/>
        </w:rPr>
        <w:br w:type="page"/>
      </w:r>
      <w:bookmarkEnd w:id="1"/>
      <w:r w:rsidRPr="008C43A9">
        <w:rPr>
          <w:rFonts w:ascii="Times New Roman" w:eastAsia="Calibri" w:hAnsi="Times New Roman" w:cs="Times New Roman"/>
          <w:b/>
          <w:i/>
          <w:color w:val="0000CC"/>
          <w:sz w:val="20"/>
          <w:szCs w:val="20"/>
          <w:lang w:val="en-CA"/>
        </w:rPr>
        <w:lastRenderedPageBreak/>
        <w:t>12.2 TUITION REFUND POLICY</w:t>
      </w:r>
    </w:p>
    <w:p w14:paraId="5222B7E0"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18F4E1A5"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0581458C"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12.2-1</w:t>
      </w:r>
    </w:p>
    <w:p w14:paraId="4B55ADBA"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30F6964F"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p>
    <w:p w14:paraId="7EF11117" w14:textId="77777777" w:rsidR="008C43A9" w:rsidRPr="008C43A9" w:rsidRDefault="008C43A9" w:rsidP="008C43A9">
      <w:pPr>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the policies (or other equivalent documents) that outline tuition, fee and other allowable payment refunds to medical students who withdraw or are dismissed from the medical education program.  Highlight the relevant sections within the documents provided. (</w:t>
      </w:r>
      <w:r w:rsidRPr="008C43A9">
        <w:rPr>
          <w:rFonts w:ascii="Times New Roman" w:eastAsia="Calibri" w:hAnsi="Times New Roman" w:cs="Times New Roman"/>
          <w:b/>
          <w:i/>
          <w:color w:val="0000CC"/>
          <w:sz w:val="20"/>
          <w:szCs w:val="20"/>
          <w:lang w:val="en-CA"/>
        </w:rPr>
        <w:t>Appendix 12.2-1 A</w:t>
      </w:r>
      <w:r w:rsidRPr="008C43A9">
        <w:rPr>
          <w:rFonts w:ascii="Times New Roman" w:eastAsia="Calibri" w:hAnsi="Times New Roman" w:cs="Times New Roman"/>
          <w:bCs/>
          <w:i/>
          <w:color w:val="0000CC"/>
          <w:sz w:val="20"/>
          <w:szCs w:val="20"/>
          <w:lang w:val="en-CA"/>
        </w:rPr>
        <w:t>)</w:t>
      </w:r>
    </w:p>
    <w:p w14:paraId="012988A2"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316B6A45"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00D8B47C"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1490A8BE"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0CA638E3"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5FE1181B" w14:textId="77777777" w:rsidR="008C43A9" w:rsidRPr="008C43A9" w:rsidRDefault="008C43A9" w:rsidP="008C43A9">
      <w:pPr>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policies or other equivalent documents are disseminated to medical students at each campus.</w:t>
      </w:r>
    </w:p>
    <w:p w14:paraId="5966B420"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419142E"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6127F968"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597FCAC"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42C52FEC"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21CC379E" w14:textId="77777777" w:rsidR="008C43A9" w:rsidRPr="008C43A9" w:rsidRDefault="008C43A9" w:rsidP="008C43A9">
      <w:pPr>
        <w:spacing w:after="0" w:line="240" w:lineRule="auto"/>
        <w:rPr>
          <w:rFonts w:ascii="Times New Roman" w:eastAsia="Calibri" w:hAnsi="Times New Roman" w:cs="Times New Roman"/>
          <w:b/>
          <w:i/>
          <w:strike/>
          <w:color w:val="0000CC"/>
          <w:sz w:val="20"/>
          <w:szCs w:val="20"/>
          <w:lang w:val="en-CA"/>
        </w:rPr>
      </w:pPr>
      <w:r w:rsidRPr="008C43A9">
        <w:rPr>
          <w:rFonts w:ascii="Times New Roman" w:eastAsia="Calibri" w:hAnsi="Times New Roman" w:cs="Times New Roman"/>
          <w:b/>
          <w:i/>
          <w:strike/>
          <w:color w:val="0000CC"/>
          <w:sz w:val="20"/>
          <w:szCs w:val="20"/>
          <w:lang w:val="en-CA"/>
        </w:rPr>
        <w:br w:type="page"/>
      </w:r>
      <w:bookmarkStart w:id="4" w:name="_Hlk90998896"/>
      <w:r w:rsidRPr="008C43A9">
        <w:rPr>
          <w:rFonts w:ascii="Times New Roman" w:eastAsia="Calibri" w:hAnsi="Times New Roman" w:cs="Times New Roman"/>
          <w:b/>
          <w:i/>
          <w:color w:val="0000CC"/>
          <w:sz w:val="20"/>
          <w:szCs w:val="20"/>
          <w:lang w:val="en-CA"/>
        </w:rPr>
        <w:lastRenderedPageBreak/>
        <w:t>12.3 PERSONAL COUNSELLING / WELL-BEING PROGRAMS</w:t>
      </w:r>
    </w:p>
    <w:p w14:paraId="327E7BCB"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has in place an effective system of personal counselling for its medical students that includes programs to promote their well-being and to facilitate their adjustment to the physical and psychosocial demands of medical education.</w:t>
      </w:r>
    </w:p>
    <w:p w14:paraId="395FFAF4"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322B452C"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12.3-1</w:t>
      </w:r>
      <w:r w:rsidRPr="008C43A9">
        <w:rPr>
          <w:rFonts w:ascii="Times New Roman" w:eastAsia="Calibri" w:hAnsi="Times New Roman" w:cs="Times New Roman"/>
          <w:bCs/>
          <w:iCs/>
          <w:sz w:val="20"/>
          <w:szCs w:val="20"/>
          <w:lang w:val="en-CA"/>
        </w:rPr>
        <w:t xml:space="preserve"> </w:t>
      </w:r>
    </w:p>
    <w:p w14:paraId="41097D5B"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in place an effective system of personal counselling for its medical students that includes programs to promote their well-being and to facilitate their adjustment to the physical and psychosocial demands of medical education.</w:t>
      </w:r>
    </w:p>
    <w:p w14:paraId="241AD3C4"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343AD986"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bookmarkStart w:id="5" w:name="_Hlk66713824"/>
      <w:r w:rsidRPr="008C43A9">
        <w:rPr>
          <w:rFonts w:ascii="Times New Roman" w:eastAsia="Calibri" w:hAnsi="Times New Roman" w:cs="Times New Roman"/>
          <w:bCs/>
          <w:iCs/>
          <w:color w:val="0000CC"/>
          <w:sz w:val="20"/>
          <w:szCs w:val="20"/>
          <w:lang w:val="en-CA"/>
        </w:rPr>
        <w:t>Describe the medical school’s system of personal counselling for its medical students and include a description of how the system is made available to all medical students on each campus/instructional site.</w:t>
      </w:r>
    </w:p>
    <w:p w14:paraId="50B7C2EB"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34BD980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87DF22C"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42C07393"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C1EB653" w14:textId="77777777" w:rsidR="008C43A9" w:rsidRPr="008C43A9" w:rsidRDefault="008C43A9" w:rsidP="008C43A9">
      <w:pPr>
        <w:numPr>
          <w:ilvl w:val="0"/>
          <w:numId w:val="10"/>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at each campus are informed of the personal counselling system and its programs.</w:t>
      </w:r>
    </w:p>
    <w:p w14:paraId="71458BE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4142F2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5619AB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C7A785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1676B1D"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Describe how, at each campus, the medical school determines or monitors </w:t>
      </w:r>
      <w:bookmarkEnd w:id="5"/>
      <w:r w:rsidRPr="008C43A9">
        <w:rPr>
          <w:rFonts w:ascii="Times New Roman" w:eastAsia="Calibri" w:hAnsi="Times New Roman" w:cs="Times New Roman"/>
          <w:bCs/>
          <w:iCs/>
          <w:color w:val="0000CC"/>
          <w:sz w:val="20"/>
          <w:szCs w:val="20"/>
          <w:lang w:val="en-CA"/>
        </w:rPr>
        <w:t>the effectiveness of its system of personal counselling.</w:t>
      </w:r>
    </w:p>
    <w:p w14:paraId="6784F25A"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72525716"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5BE3D283"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E0FDE9B"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1DBB32E"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its system of personal counselling meets the needs of its medical students.</w:t>
      </w:r>
    </w:p>
    <w:p w14:paraId="7475C18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48D4AE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B7E6B7D"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BEE546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128E3E2"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Summarize key features of the programs that promote medical students’ well-being.</w:t>
      </w:r>
    </w:p>
    <w:p w14:paraId="78BB479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3B65AAD"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5C16B33"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283A60E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2A3CABD"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0A5B28A" w14:textId="77777777" w:rsidR="008C43A9" w:rsidRPr="008C43A9" w:rsidRDefault="008C43A9" w:rsidP="008C43A9">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Summarize key features of the programs that facilitate medical students’ adjustment to the physical and psychosocial demands of medical education.</w:t>
      </w:r>
    </w:p>
    <w:p w14:paraId="2FBF37F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55D2E4C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169FB5A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0807CDB0"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2E6A9781"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4A42FD0A" w14:textId="77777777" w:rsidR="008C43A9" w:rsidRPr="008C43A9" w:rsidRDefault="008C43A9" w:rsidP="008C43A9">
      <w:pPr>
        <w:spacing w:after="0" w:line="240" w:lineRule="auto"/>
        <w:ind w:left="360"/>
        <w:rPr>
          <w:rFonts w:ascii="Times New Roman" w:eastAsia="Calibri" w:hAnsi="Times New Roman" w:cs="Times New Roman"/>
          <w:b/>
          <w:lang w:val="en-CA"/>
        </w:rPr>
      </w:pPr>
    </w:p>
    <w:bookmarkEnd w:id="4"/>
    <w:p w14:paraId="06F245EC" w14:textId="1DC84718" w:rsidR="008C43A9" w:rsidRPr="008C43A9" w:rsidRDefault="00397A6B" w:rsidP="008C43A9">
      <w:pPr>
        <w:spacing w:after="0" w:line="240" w:lineRule="auto"/>
        <w:rPr>
          <w:rFonts w:ascii="Times New Roman" w:eastAsia="Calibri" w:hAnsi="Times New Roman" w:cs="Times New Roman"/>
          <w:b/>
          <w:i/>
          <w:color w:val="0000CC"/>
          <w:sz w:val="20"/>
          <w:szCs w:val="20"/>
          <w:lang w:val="en-CA"/>
        </w:rPr>
      </w:pPr>
      <w:r>
        <w:rPr>
          <w:rFonts w:ascii="Times New Roman" w:eastAsia="Calibri" w:hAnsi="Times New Roman" w:cs="Times New Roman"/>
          <w:b/>
          <w:i/>
          <w:color w:val="0000CC"/>
          <w:sz w:val="20"/>
          <w:szCs w:val="20"/>
          <w:lang w:val="en-CA"/>
        </w:rPr>
        <w:br/>
      </w:r>
    </w:p>
    <w:p w14:paraId="177127AF"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B0C19D9"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12.4 STUDENT ACCESS TO HEALTH CARE SERVICES</w:t>
      </w:r>
    </w:p>
    <w:p w14:paraId="4A48794A"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5961F59B"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1E182077"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12.4-1</w:t>
      </w:r>
    </w:p>
    <w:p w14:paraId="1EA230F3"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 xml:space="preserve">The medical school facilitates </w:t>
      </w:r>
      <w:bookmarkStart w:id="6" w:name="_Hlk86934670"/>
      <w:r w:rsidRPr="008C43A9">
        <w:rPr>
          <w:rFonts w:ascii="Times New Roman" w:eastAsia="Calibri" w:hAnsi="Times New Roman" w:cs="Times New Roman"/>
          <w:i/>
          <w:sz w:val="20"/>
          <w:szCs w:val="20"/>
          <w:lang w:val="en-CA"/>
        </w:rPr>
        <w:t xml:space="preserve">medical students’ timely access to </w:t>
      </w:r>
      <w:bookmarkStart w:id="7" w:name="_Hlk66715055"/>
      <w:r w:rsidRPr="008C43A9">
        <w:rPr>
          <w:rFonts w:ascii="Times New Roman" w:eastAsia="Calibri" w:hAnsi="Times New Roman" w:cs="Times New Roman"/>
          <w:i/>
          <w:sz w:val="20"/>
          <w:szCs w:val="20"/>
          <w:lang w:val="en-CA"/>
        </w:rPr>
        <w:t>needed diagnostic, preventive, and therapeutic health services at sites in reasonable proximity to the locations of their required learning experiences</w:t>
      </w:r>
      <w:bookmarkEnd w:id="6"/>
      <w:r w:rsidRPr="008C43A9">
        <w:rPr>
          <w:rFonts w:ascii="Times New Roman" w:eastAsia="Calibri" w:hAnsi="Times New Roman" w:cs="Times New Roman"/>
          <w:i/>
          <w:sz w:val="20"/>
          <w:szCs w:val="20"/>
          <w:lang w:val="en-CA"/>
        </w:rPr>
        <w:t>.</w:t>
      </w:r>
    </w:p>
    <w:p w14:paraId="4F3CAB33"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sz w:val="20"/>
          <w:szCs w:val="20"/>
          <w:lang w:val="en-CA"/>
        </w:rPr>
      </w:pPr>
    </w:p>
    <w:bookmarkEnd w:id="7"/>
    <w:p w14:paraId="6580A3F5" w14:textId="77777777" w:rsidR="008C43A9" w:rsidRPr="008C43A9" w:rsidRDefault="008C43A9" w:rsidP="008C43A9">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facilitates medical students’ timely access to</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needed diagnostic, preventive, and therapeutic health services at sites in reasonable proximity to the locations of their required learning experiences including any additional measures taken when students are at a distance from a major medical center.</w:t>
      </w:r>
    </w:p>
    <w:p w14:paraId="131EE57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354E80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B57504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FAFA2E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009ACCD"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E36D405" w14:textId="77777777" w:rsidR="008C43A9" w:rsidRPr="008C43A9" w:rsidRDefault="008C43A9" w:rsidP="008C43A9">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Describe how medical students at all instructional sites/campuses with required learning activities are informed about availability and access to health services. </w:t>
      </w:r>
    </w:p>
    <w:p w14:paraId="68708959"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052186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7F25D3"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0DAD38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5F21E5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482B4D7"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12.4-2</w:t>
      </w:r>
    </w:p>
    <w:p w14:paraId="65606FA6"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policies and procedures in place that permit students to be excused from these experiences to seek needed care.</w:t>
      </w:r>
    </w:p>
    <w:p w14:paraId="3FA82173"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30181311" w14:textId="77777777" w:rsidR="008C43A9" w:rsidRPr="008C43A9" w:rsidRDefault="008C43A9" w:rsidP="008C43A9">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the policy or guidance document that specifies that medical students may be excused from classes or clinical activities to access health services. Highlight the relevant sections in these documents. (</w:t>
      </w:r>
      <w:r w:rsidRPr="008C43A9">
        <w:rPr>
          <w:rFonts w:ascii="Times New Roman" w:eastAsia="Calibri" w:hAnsi="Times New Roman" w:cs="Times New Roman"/>
          <w:b/>
          <w:i/>
          <w:color w:val="0000CC"/>
          <w:sz w:val="20"/>
          <w:szCs w:val="20"/>
          <w:lang w:val="en-CA"/>
        </w:rPr>
        <w:t>Appendix 12.4-2 A</w:t>
      </w:r>
      <w:r w:rsidRPr="008C43A9">
        <w:rPr>
          <w:rFonts w:ascii="Times New Roman" w:eastAsia="Calibri" w:hAnsi="Times New Roman" w:cs="Times New Roman"/>
          <w:bCs/>
          <w:iCs/>
          <w:color w:val="0000CC"/>
          <w:sz w:val="20"/>
          <w:szCs w:val="20"/>
          <w:lang w:val="en-CA"/>
        </w:rPr>
        <w:t>)</w:t>
      </w:r>
    </w:p>
    <w:p w14:paraId="26A0484C"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E024C45"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934E9E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FE200E"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9208A7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06C8E62" w14:textId="77777777" w:rsidR="008C43A9" w:rsidRPr="008C43A9" w:rsidRDefault="008C43A9" w:rsidP="008C43A9">
      <w:pPr>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faculty members, and residents are informed of policies/procedures that allow students to be excused from classes or clinical activities to access health services.</w:t>
      </w:r>
    </w:p>
    <w:p w14:paraId="1F9F2450"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3740DB51"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4E2A8C7D"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515C7DFC"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45A1FEF"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70880989"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2DE2B452"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D2C88D3" w14:textId="4FF13561" w:rsidR="008C43A9" w:rsidRPr="008C43A9" w:rsidRDefault="00652234" w:rsidP="008C43A9">
      <w:pPr>
        <w:spacing w:after="0" w:line="240" w:lineRule="auto"/>
        <w:rPr>
          <w:rFonts w:ascii="Times New Roman" w:eastAsia="Calibri" w:hAnsi="Times New Roman" w:cs="Times New Roman"/>
          <w:b/>
          <w:i/>
          <w:color w:val="0000CC"/>
          <w:sz w:val="20"/>
          <w:szCs w:val="20"/>
          <w:lang w:val="en-CA"/>
        </w:rPr>
      </w:pPr>
      <w:r>
        <w:rPr>
          <w:rFonts w:ascii="Times New Roman" w:eastAsia="Calibri" w:hAnsi="Times New Roman" w:cs="Times New Roman"/>
          <w:b/>
          <w:i/>
          <w:color w:val="0000CC"/>
          <w:sz w:val="20"/>
          <w:szCs w:val="20"/>
          <w:lang w:val="en-CA"/>
        </w:rPr>
        <w:br/>
      </w:r>
      <w:r>
        <w:rPr>
          <w:rFonts w:ascii="Times New Roman" w:eastAsia="Calibri" w:hAnsi="Times New Roman" w:cs="Times New Roman"/>
          <w:b/>
          <w:i/>
          <w:color w:val="0000CC"/>
          <w:sz w:val="20"/>
          <w:szCs w:val="20"/>
          <w:lang w:val="en-CA"/>
        </w:rPr>
        <w:br/>
      </w:r>
    </w:p>
    <w:p w14:paraId="6089FB17"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287285B0"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4C7F6CBB"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 xml:space="preserve">12.5 PROVIDERS OF STUDENT HEALTH SERVICES / LOCATION OF STUDENT HEALTH RECORDS </w:t>
      </w:r>
    </w:p>
    <w:p w14:paraId="4F7B19D3"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 xml:space="preserve">The health professionals who provide health services, including psychiatric/psychological counselling, to a medical student </w:t>
      </w:r>
      <w:proofErr w:type="gramStart"/>
      <w:r w:rsidRPr="008C43A9">
        <w:rPr>
          <w:rFonts w:ascii="Times New Roman" w:eastAsia="Calibri" w:hAnsi="Times New Roman" w:cs="Times New Roman"/>
          <w:b/>
          <w:i/>
          <w:color w:val="0000CC"/>
          <w:sz w:val="20"/>
          <w:szCs w:val="20"/>
          <w:lang w:val="en-CA"/>
        </w:rPr>
        <w:t>have no involvement</w:t>
      </w:r>
      <w:proofErr w:type="gramEnd"/>
      <w:r w:rsidRPr="008C43A9">
        <w:rPr>
          <w:rFonts w:ascii="Times New Roman" w:eastAsia="Calibri" w:hAnsi="Times New Roman" w:cs="Times New Roman"/>
          <w:b/>
          <w:i/>
          <w:color w:val="0000CC"/>
          <w:sz w:val="20"/>
          <w:szCs w:val="20"/>
          <w:lang w:val="en-CA"/>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409A8FF7"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0491C82E"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12.5-1</w:t>
      </w:r>
    </w:p>
    <w:p w14:paraId="67B95131"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 xml:space="preserve">The health professionals who provide health services, including psychiatric/psychological counselling, to a medical student </w:t>
      </w:r>
      <w:proofErr w:type="gramStart"/>
      <w:r w:rsidRPr="008C43A9">
        <w:rPr>
          <w:rFonts w:ascii="Times New Roman" w:eastAsia="Calibri" w:hAnsi="Times New Roman" w:cs="Times New Roman"/>
          <w:i/>
          <w:sz w:val="20"/>
          <w:szCs w:val="20"/>
          <w:lang w:val="en-CA"/>
        </w:rPr>
        <w:t>have no involvement</w:t>
      </w:r>
      <w:proofErr w:type="gramEnd"/>
      <w:r w:rsidRPr="008C43A9">
        <w:rPr>
          <w:rFonts w:ascii="Times New Roman" w:eastAsia="Calibri" w:hAnsi="Times New Roman" w:cs="Times New Roman"/>
          <w:i/>
          <w:sz w:val="20"/>
          <w:szCs w:val="20"/>
          <w:lang w:val="en-CA"/>
        </w:rPr>
        <w:t xml:space="preserve"> in the academic assessment or advancement of the medical student receiving those services, excluding exceptional circumstances.</w:t>
      </w:r>
    </w:p>
    <w:p w14:paraId="4B6CC5C1"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color w:val="0000CC"/>
          <w:sz w:val="20"/>
          <w:szCs w:val="20"/>
          <w:lang w:val="en-CA"/>
        </w:rPr>
      </w:pPr>
    </w:p>
    <w:p w14:paraId="26EB47BE"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a provider of health and/or psychiatric/psychological services to a medical student has no current or future involvement in the academic assessment of, or in decisions about, the advancement of that student.</w:t>
      </w:r>
    </w:p>
    <w:p w14:paraId="2B2C1A9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603FEA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724CF53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D67B00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DD796E3"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residents, and faculty members are informed of this requirement.</w:t>
      </w:r>
    </w:p>
    <w:p w14:paraId="32C466B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3A57C08"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6E941AE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2D9854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DBFCBF"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mitigates against bias in academic assessment or advancement of medical students in exceptional circumstances, where a health care professional may be involved in the academic assessment or advancement of a medical student and as a provider of health care services to that medical student.</w:t>
      </w:r>
    </w:p>
    <w:p w14:paraId="6B7BE514"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0B102B3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657066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39D1E9E"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DAC69A4"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Provide policies and/or procedures that specify that providers of health and psychiatric/psychological services to a medical student will </w:t>
      </w:r>
      <w:proofErr w:type="gramStart"/>
      <w:r w:rsidRPr="008C43A9">
        <w:rPr>
          <w:rFonts w:ascii="Times New Roman" w:eastAsia="Calibri" w:hAnsi="Times New Roman" w:cs="Times New Roman"/>
          <w:bCs/>
          <w:iCs/>
          <w:color w:val="0000CC"/>
          <w:sz w:val="20"/>
          <w:szCs w:val="20"/>
          <w:lang w:val="en-CA"/>
        </w:rPr>
        <w:t>have no involvement</w:t>
      </w:r>
      <w:proofErr w:type="gramEnd"/>
      <w:r w:rsidRPr="008C43A9">
        <w:rPr>
          <w:rFonts w:ascii="Times New Roman" w:eastAsia="Calibri" w:hAnsi="Times New Roman" w:cs="Times New Roman"/>
          <w:bCs/>
          <w:iCs/>
          <w:color w:val="0000CC"/>
          <w:sz w:val="20"/>
          <w:szCs w:val="20"/>
          <w:lang w:val="en-CA"/>
        </w:rPr>
        <w:t xml:space="preserve"> in the academic assessment of or in decisions about the advancement of that student other than in exceptional circumstances.  Highlight the relevant sections of the document(s). (</w:t>
      </w:r>
      <w:r w:rsidRPr="008C43A9">
        <w:rPr>
          <w:rFonts w:ascii="Times New Roman" w:eastAsia="Calibri" w:hAnsi="Times New Roman" w:cs="Times New Roman"/>
          <w:b/>
          <w:i/>
          <w:color w:val="0000CC"/>
          <w:sz w:val="20"/>
          <w:szCs w:val="20"/>
          <w:lang w:val="en-CA"/>
        </w:rPr>
        <w:t>Appendix 12.5-1 D</w:t>
      </w:r>
      <w:r w:rsidRPr="008C43A9">
        <w:rPr>
          <w:rFonts w:ascii="Times New Roman" w:eastAsia="Calibri" w:hAnsi="Times New Roman" w:cs="Times New Roman"/>
          <w:bCs/>
          <w:iCs/>
          <w:color w:val="0000CC"/>
          <w:sz w:val="20"/>
          <w:szCs w:val="20"/>
          <w:lang w:val="en-CA"/>
        </w:rPr>
        <w:t>)</w:t>
      </w:r>
    </w:p>
    <w:p w14:paraId="6A5D950A"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232B800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56DAFC0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A04A6C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F7F56F9"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3383BCA" w14:textId="77777777" w:rsidR="008C43A9" w:rsidRPr="008C43A9" w:rsidRDefault="008C43A9" w:rsidP="008C43A9">
      <w:pPr>
        <w:spacing w:after="160" w:line="259"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Cs/>
          <w:iCs/>
          <w:sz w:val="20"/>
          <w:szCs w:val="20"/>
          <w:lang w:val="en-CA"/>
        </w:rPr>
        <w:br w:type="page"/>
      </w:r>
    </w:p>
    <w:p w14:paraId="3F5A8A1A"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lastRenderedPageBreak/>
        <w:t>Requirement 12.5-2</w:t>
      </w:r>
    </w:p>
    <w:p w14:paraId="0F70D97F"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that medical student health records are maintained in accordance with legal requirements for security, privacy, confidentiality, and accessibility.</w:t>
      </w:r>
    </w:p>
    <w:p w14:paraId="77548CA3" w14:textId="77777777" w:rsidR="008C43A9" w:rsidRPr="008C43A9" w:rsidRDefault="008C43A9" w:rsidP="008C43A9">
      <w:pPr>
        <w:widowControl w:val="0"/>
        <w:spacing w:after="0" w:line="240" w:lineRule="auto"/>
        <w:rPr>
          <w:rFonts w:ascii="Times New Roman" w:eastAsia="Calibri" w:hAnsi="Times New Roman" w:cs="Times New Roman"/>
          <w:bCs/>
          <w:iCs/>
          <w:color w:val="0000CC"/>
          <w:sz w:val="20"/>
          <w:szCs w:val="20"/>
          <w:lang w:val="en-CA"/>
        </w:rPr>
      </w:pPr>
    </w:p>
    <w:p w14:paraId="01A44F91" w14:textId="77777777" w:rsidR="008C43A9" w:rsidRPr="008C43A9" w:rsidRDefault="008C43A9" w:rsidP="008C43A9">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 health records are maintained in accordance with legal requirements for security, privacy, confidentiality, and accessibility whenever the medical school has these documents in its possession.</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178D150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A6BFBCB"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BA768B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068D4AA"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70B344F0"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28689A75" w14:textId="77777777" w:rsidR="008C43A9" w:rsidRPr="008C43A9" w:rsidRDefault="008C43A9" w:rsidP="008C43A9">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documentation pertaining to the security, privacy, confidentiality, and accessibility of medical student health records. Highlight the relevant sections of the document(s). (</w:t>
      </w:r>
      <w:r w:rsidRPr="008C43A9">
        <w:rPr>
          <w:rFonts w:ascii="Times New Roman" w:eastAsia="Calibri" w:hAnsi="Times New Roman" w:cs="Times New Roman"/>
          <w:b/>
          <w:i/>
          <w:color w:val="0000CC"/>
          <w:sz w:val="20"/>
          <w:szCs w:val="20"/>
          <w:lang w:val="en-CA"/>
        </w:rPr>
        <w:t>Appendix 12.5-2 B</w:t>
      </w:r>
      <w:r w:rsidRPr="008C43A9">
        <w:rPr>
          <w:rFonts w:ascii="Times New Roman" w:eastAsia="Calibri" w:hAnsi="Times New Roman" w:cs="Times New Roman"/>
          <w:bCs/>
          <w:iCs/>
          <w:color w:val="0000CC"/>
          <w:sz w:val="20"/>
          <w:szCs w:val="20"/>
          <w:lang w:val="en-CA"/>
        </w:rPr>
        <w:t>)</w:t>
      </w:r>
    </w:p>
    <w:p w14:paraId="4FFA4A4D"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500156F8"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5E72509E"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628BA625"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2271D719" w14:textId="77777777" w:rsidR="008C43A9" w:rsidRPr="008C43A9" w:rsidRDefault="008C43A9" w:rsidP="008C43A9">
      <w:pPr>
        <w:spacing w:after="0" w:line="240" w:lineRule="auto"/>
        <w:rPr>
          <w:rFonts w:ascii="Times New Roman" w:eastAsia="Calibri" w:hAnsi="Times New Roman" w:cs="Times New Roman"/>
          <w:sz w:val="20"/>
          <w:szCs w:val="20"/>
          <w:lang w:val="en-CA"/>
        </w:rPr>
      </w:pPr>
      <w:r w:rsidRPr="008C43A9">
        <w:rPr>
          <w:rFonts w:ascii="Times New Roman" w:eastAsia="Calibri" w:hAnsi="Times New Roman" w:cs="Times New Roman"/>
          <w:sz w:val="20"/>
          <w:szCs w:val="20"/>
          <w:lang w:val="en-CA"/>
        </w:rPr>
        <w:br w:type="page"/>
      </w:r>
      <w:r w:rsidRPr="008C43A9">
        <w:rPr>
          <w:rFonts w:ascii="Times New Roman" w:eastAsia="Calibri" w:hAnsi="Times New Roman" w:cs="Times New Roman"/>
          <w:b/>
          <w:i/>
          <w:color w:val="0000CC"/>
          <w:sz w:val="20"/>
          <w:szCs w:val="20"/>
          <w:lang w:val="en-CA"/>
        </w:rPr>
        <w:lastRenderedPageBreak/>
        <w:t xml:space="preserve">12.6 STUDENT HEALTH AND DISABILITY INSURANCE </w:t>
      </w:r>
    </w:p>
    <w:p w14:paraId="0455A504"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ensures that health insurance is available to each of its medical students and their dependents, and that each medical student has access to disability insurance.</w:t>
      </w:r>
    </w:p>
    <w:p w14:paraId="64A83024"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234BBCE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12.6-1</w:t>
      </w:r>
    </w:p>
    <w:p w14:paraId="2B9BC6DC" w14:textId="77777777" w:rsidR="008C43A9" w:rsidRPr="008C43A9" w:rsidRDefault="008C43A9" w:rsidP="008C43A9">
      <w:pPr>
        <w:widowControl w:val="0"/>
        <w:spacing w:after="0" w:line="240" w:lineRule="auto"/>
        <w:ind w:left="851" w:hanging="851"/>
        <w:rPr>
          <w:rFonts w:ascii="Times New Roman" w:eastAsia="Calibri" w:hAnsi="Times New Roman" w:cs="Times New Roman"/>
          <w:i/>
          <w:color w:val="0000CC"/>
          <w:sz w:val="20"/>
          <w:szCs w:val="20"/>
          <w:lang w:val="en-CA"/>
        </w:rPr>
      </w:pPr>
      <w:r w:rsidRPr="008C43A9">
        <w:rPr>
          <w:rFonts w:ascii="Times New Roman" w:eastAsia="Calibri" w:hAnsi="Times New Roman" w:cs="Times New Roman"/>
          <w:i/>
          <w:sz w:val="20"/>
          <w:szCs w:val="20"/>
          <w:lang w:val="en-CA"/>
        </w:rPr>
        <w:t xml:space="preserve">The medical school ensures </w:t>
      </w:r>
      <w:bookmarkStart w:id="8" w:name="_Hlk66717929"/>
      <w:r w:rsidRPr="008C43A9">
        <w:rPr>
          <w:rFonts w:ascii="Times New Roman" w:eastAsia="Calibri" w:hAnsi="Times New Roman" w:cs="Times New Roman"/>
          <w:i/>
          <w:sz w:val="20"/>
          <w:szCs w:val="20"/>
          <w:lang w:val="en-CA"/>
        </w:rPr>
        <w:t>that health insurance is available to each of its medical students and their dependents.</w:t>
      </w:r>
    </w:p>
    <w:bookmarkEnd w:id="8"/>
    <w:p w14:paraId="1228BBF1"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color w:val="0000CC"/>
          <w:sz w:val="20"/>
          <w:szCs w:val="20"/>
          <w:lang w:val="en-CA"/>
        </w:rPr>
      </w:pPr>
    </w:p>
    <w:p w14:paraId="3FBED41C" w14:textId="77777777" w:rsidR="008C43A9" w:rsidRPr="008C43A9" w:rsidRDefault="008C43A9" w:rsidP="008C43A9">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bookmarkStart w:id="9" w:name="_Hlk66718226"/>
      <w:r w:rsidRPr="008C43A9">
        <w:rPr>
          <w:rFonts w:ascii="Times New Roman" w:eastAsia="Calibri" w:hAnsi="Times New Roman" w:cs="Times New Roman"/>
          <w:bCs/>
          <w:iCs/>
          <w:color w:val="0000CC"/>
          <w:sz w:val="20"/>
          <w:szCs w:val="20"/>
          <w:lang w:val="en-CA"/>
        </w:rPr>
        <w:t>Describe how the medical school ensures that health insurance is available to each of its medical students and their dependents. Provide information for each campus if there are differences.</w:t>
      </w:r>
    </w:p>
    <w:p w14:paraId="16DBFB8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04E5812"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956A1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7135C4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CC8EA6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2D5A254" w14:textId="77777777" w:rsidR="008C43A9" w:rsidRPr="008C43A9" w:rsidRDefault="008C43A9" w:rsidP="008C43A9">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Identify when medical students are made aware of health insurance availability.</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bookmarkEnd w:id="9"/>
    <w:p w14:paraId="28C11E60"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13B702A6"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6EED4F80"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210FE05B"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791ECA76"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2D4A150B"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12.6-2</w:t>
      </w:r>
      <w:r w:rsidRPr="008C43A9">
        <w:rPr>
          <w:rFonts w:ascii="Times New Roman" w:eastAsia="Calibri" w:hAnsi="Times New Roman" w:cs="Times New Roman"/>
          <w:bCs/>
          <w:iCs/>
          <w:sz w:val="20"/>
          <w:szCs w:val="20"/>
          <w:lang w:val="en-CA"/>
        </w:rPr>
        <w:t xml:space="preserve">  </w:t>
      </w:r>
    </w:p>
    <w:p w14:paraId="0E160A5C"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that each medical student has access to disability insurance.</w:t>
      </w:r>
    </w:p>
    <w:p w14:paraId="7E982A35"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2E983BB3" w14:textId="77777777" w:rsidR="008C43A9" w:rsidRPr="008C43A9" w:rsidRDefault="008C43A9" w:rsidP="008C43A9">
      <w:pPr>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each medical student has access to disability insurance.</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2137130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58E1B49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5D9851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4D33F02"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17251B6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0598F292" w14:textId="77777777" w:rsidR="008C43A9" w:rsidRPr="008C43A9" w:rsidRDefault="008C43A9" w:rsidP="008C43A9">
      <w:pPr>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Identify when medical students are made aware of access to disability insurance.</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579E8EB3"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8D543B0"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2892AEE6"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1E4C800E"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7D94C09"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646E2E3"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br w:type="page"/>
      </w:r>
    </w:p>
    <w:p w14:paraId="487B14C7"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 xml:space="preserve">12.7 IMMUNIZATION REQUIREMENTS AND MONITORING </w:t>
      </w:r>
    </w:p>
    <w:p w14:paraId="34D8E8DD"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follows accepted guidelines that determine immunization requirements and ensures compliance of its students with these requirements.</w:t>
      </w:r>
    </w:p>
    <w:p w14:paraId="006A4692"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u w:val="single"/>
          <w:lang w:val="en-CA"/>
        </w:rPr>
      </w:pPr>
    </w:p>
    <w:p w14:paraId="0822122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12.7-1</w:t>
      </w:r>
      <w:r w:rsidRPr="008C43A9">
        <w:rPr>
          <w:rFonts w:ascii="Times New Roman" w:eastAsia="Calibri" w:hAnsi="Times New Roman" w:cs="Times New Roman"/>
          <w:bCs/>
          <w:iCs/>
          <w:sz w:val="20"/>
          <w:szCs w:val="20"/>
          <w:lang w:val="en-CA"/>
        </w:rPr>
        <w:t xml:space="preserve"> </w:t>
      </w:r>
    </w:p>
    <w:p w14:paraId="1E201899"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follows accepted guidelines that determine immunization</w:t>
      </w:r>
      <w:r w:rsidRPr="008C43A9">
        <w:rPr>
          <w:rFonts w:ascii="Times New Roman" w:eastAsia="Calibri" w:hAnsi="Times New Roman" w:cs="Times New Roman"/>
          <w:b/>
          <w:i/>
          <w:sz w:val="20"/>
          <w:szCs w:val="20"/>
          <w:lang w:val="en-CA"/>
        </w:rPr>
        <w:t xml:space="preserve"> </w:t>
      </w:r>
      <w:r w:rsidRPr="008C43A9">
        <w:rPr>
          <w:rFonts w:ascii="Times New Roman" w:eastAsia="Calibri" w:hAnsi="Times New Roman" w:cs="Times New Roman"/>
          <w:i/>
          <w:sz w:val="20"/>
          <w:szCs w:val="20"/>
          <w:lang w:val="en-CA"/>
        </w:rPr>
        <w:t>requirements.</w:t>
      </w:r>
    </w:p>
    <w:p w14:paraId="505C792A"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sz w:val="20"/>
          <w:szCs w:val="20"/>
          <w:lang w:val="en-CA"/>
        </w:rPr>
      </w:pPr>
    </w:p>
    <w:p w14:paraId="06A11EB5" w14:textId="77777777" w:rsidR="008C43A9" w:rsidRPr="008C43A9" w:rsidRDefault="008C43A9" w:rsidP="008C43A9">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List the guidelines used by the medical school to determine the immunization requirements for its medical students.</w:t>
      </w:r>
    </w:p>
    <w:p w14:paraId="6E23CAD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E295FB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4449BF94"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5C477159"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3BD44257"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5901E9BB" w14:textId="77777777" w:rsidR="008C43A9" w:rsidRPr="008C43A9" w:rsidRDefault="008C43A9" w:rsidP="008C43A9">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the rationale for any school requirements that differ from the immunization guideline(s) listed above.</w:t>
      </w:r>
    </w:p>
    <w:p w14:paraId="39709AE1"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2FF26B74"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02110016"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613CEF48"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79B48C33" w14:textId="77777777" w:rsidR="008C43A9" w:rsidRPr="008C43A9" w:rsidRDefault="008C43A9" w:rsidP="008C43A9">
      <w:pPr>
        <w:spacing w:after="0" w:line="240" w:lineRule="auto"/>
        <w:ind w:left="360"/>
        <w:rPr>
          <w:rFonts w:ascii="Times New Roman" w:eastAsia="Calibri" w:hAnsi="Times New Roman" w:cs="Times New Roman"/>
          <w:bCs/>
          <w:iCs/>
          <w:color w:val="0000CC"/>
          <w:sz w:val="20"/>
          <w:szCs w:val="20"/>
          <w:lang w:val="en-CA"/>
        </w:rPr>
      </w:pPr>
    </w:p>
    <w:p w14:paraId="1E7378B7" w14:textId="77777777" w:rsidR="008C43A9" w:rsidRPr="008C43A9" w:rsidRDefault="008C43A9" w:rsidP="008C43A9">
      <w:pPr>
        <w:numPr>
          <w:ilvl w:val="0"/>
          <w:numId w:val="17"/>
        </w:numPr>
        <w:spacing w:after="0" w:line="240" w:lineRule="auto"/>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Provide the school or university document stating the immunization requirements for students. </w:t>
      </w:r>
      <w:r w:rsidRPr="008C43A9">
        <w:rPr>
          <w:rFonts w:ascii="Times New Roman" w:eastAsia="Calibri" w:hAnsi="Times New Roman" w:cs="Times New Roman"/>
          <w:b/>
          <w:i/>
          <w:color w:val="0000CC"/>
          <w:sz w:val="20"/>
          <w:szCs w:val="20"/>
          <w:lang w:val="en-CA"/>
        </w:rPr>
        <w:t>(Appendix 12.7-1 C)</w:t>
      </w:r>
      <w:r w:rsidRPr="008C43A9">
        <w:rPr>
          <w:rFonts w:ascii="Times New Roman" w:eastAsia="Calibri" w:hAnsi="Times New Roman" w:cs="Times New Roman"/>
          <w:bCs/>
          <w:iCs/>
          <w:color w:val="0000CC"/>
          <w:sz w:val="20"/>
          <w:szCs w:val="20"/>
          <w:lang w:val="en-CA"/>
        </w:rPr>
        <w:t>. Highlight relevant sections of the document stating the immunization requirements and identify any areas where medical school requirements differ from Canadian immunization guidelines or those approved for use in the province in which the school operates.</w:t>
      </w:r>
    </w:p>
    <w:p w14:paraId="4EEAC57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FA56C6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3C518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119FE2"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82F7F2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712D39FA" w14:textId="77777777" w:rsidR="008C43A9" w:rsidRPr="008C43A9" w:rsidRDefault="008C43A9" w:rsidP="008C43A9">
      <w:pPr>
        <w:widowControl w:val="0"/>
        <w:spacing w:after="0" w:line="240" w:lineRule="auto"/>
        <w:ind w:left="720" w:hanging="720"/>
        <w:rPr>
          <w:rFonts w:ascii="Times New Roman" w:eastAsia="Calibri" w:hAnsi="Times New Roman" w:cs="Times New Roman"/>
          <w:b/>
          <w:bCs/>
          <w:iCs/>
          <w:sz w:val="20"/>
          <w:szCs w:val="20"/>
          <w:lang w:val="en-CA"/>
        </w:rPr>
      </w:pPr>
      <w:r w:rsidRPr="008C43A9">
        <w:rPr>
          <w:rFonts w:ascii="Times New Roman" w:eastAsia="Calibri" w:hAnsi="Times New Roman" w:cs="Times New Roman"/>
          <w:b/>
          <w:i/>
          <w:sz w:val="20"/>
          <w:szCs w:val="20"/>
          <w:u w:val="single"/>
          <w:lang w:val="en-CA"/>
        </w:rPr>
        <w:t>Requirement 12.7-2</w:t>
      </w:r>
      <w:r w:rsidRPr="008C43A9">
        <w:rPr>
          <w:rFonts w:ascii="Times New Roman" w:eastAsia="Calibri" w:hAnsi="Times New Roman" w:cs="Times New Roman"/>
          <w:b/>
          <w:bCs/>
          <w:iCs/>
          <w:sz w:val="20"/>
          <w:szCs w:val="20"/>
          <w:lang w:val="en-CA"/>
        </w:rPr>
        <w:t xml:space="preserve">  </w:t>
      </w:r>
    </w:p>
    <w:p w14:paraId="6F162AF9"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compliance of its students with these requirements.</w:t>
      </w:r>
    </w:p>
    <w:p w14:paraId="407B75BD"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5B60A10F" w14:textId="77777777" w:rsidR="008C43A9" w:rsidRPr="008C43A9" w:rsidRDefault="008C43A9" w:rsidP="008C43A9">
      <w:pPr>
        <w:numPr>
          <w:ilvl w:val="0"/>
          <w:numId w:val="18"/>
        </w:numPr>
        <w:spacing w:after="0" w:line="240" w:lineRule="auto"/>
        <w:rPr>
          <w:rFonts w:ascii="Times New Roman" w:eastAsia="Calibri" w:hAnsi="Times New Roman" w:cs="Times New Roman"/>
          <w:b/>
          <w:bCs/>
          <w:iCs/>
          <w:color w:val="0000CC"/>
          <w:szCs w:val="20"/>
          <w:lang w:val="en-CA"/>
        </w:rPr>
      </w:pPr>
      <w:r w:rsidRPr="008C43A9">
        <w:rPr>
          <w:rFonts w:ascii="Times New Roman" w:eastAsia="Calibri" w:hAnsi="Times New Roman" w:cs="Times New Roman"/>
          <w:bCs/>
          <w:iCs/>
          <w:color w:val="0000CC"/>
          <w:szCs w:val="20"/>
          <w:lang w:val="en-CA"/>
        </w:rPr>
        <w:t>D</w:t>
      </w:r>
      <w:r w:rsidRPr="008C43A9">
        <w:rPr>
          <w:rFonts w:ascii="Times New Roman" w:eastAsia="Calibri" w:hAnsi="Times New Roman" w:cs="Times New Roman"/>
          <w:bCs/>
          <w:iCs/>
          <w:color w:val="0000CC"/>
          <w:sz w:val="20"/>
          <w:szCs w:val="20"/>
          <w:lang w:val="en-CA"/>
        </w:rPr>
        <w:t>escribe how the medical school ensures compliance of its medical students with immunization requirements. Provide information for each campus.</w:t>
      </w:r>
    </w:p>
    <w:p w14:paraId="250FAEA4"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5AB9C86"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03A09D7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43C4CCF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FF7320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947601A" w14:textId="77777777" w:rsidR="008C43A9" w:rsidRPr="008C43A9" w:rsidRDefault="008C43A9" w:rsidP="008C43A9">
      <w:pPr>
        <w:numPr>
          <w:ilvl w:val="0"/>
          <w:numId w:val="1"/>
        </w:numPr>
        <w:spacing w:after="0" w:line="240" w:lineRule="auto"/>
        <w:contextualSpacing/>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br w:type="page"/>
      </w:r>
    </w:p>
    <w:p w14:paraId="423EC7BF" w14:textId="77777777" w:rsidR="008C43A9" w:rsidRPr="008C43A9" w:rsidRDefault="008C43A9" w:rsidP="008C43A9">
      <w:pPr>
        <w:tabs>
          <w:tab w:val="left" w:pos="851"/>
          <w:tab w:val="left" w:pos="1134"/>
        </w:tabs>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12.8 STUDENT EXPOSURE POLICIES / PROCEDURES</w:t>
      </w:r>
    </w:p>
    <w:p w14:paraId="7D81BF6D"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has policies in place that address medical student exposure to infectious and environmental hazards, including:</w:t>
      </w:r>
    </w:p>
    <w:p w14:paraId="7599BF04"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w:t>
      </w:r>
      <w:r w:rsidRPr="008C43A9">
        <w:rPr>
          <w:rFonts w:ascii="Times New Roman" w:eastAsia="Calibri" w:hAnsi="Times New Roman" w:cs="Times New Roman"/>
          <w:b/>
          <w:i/>
          <w:color w:val="0000CC"/>
          <w:sz w:val="20"/>
          <w:szCs w:val="20"/>
          <w:lang w:val="en-CA"/>
        </w:rPr>
        <w:tab/>
        <w:t>education of medical students about methods of prevention</w:t>
      </w:r>
    </w:p>
    <w:p w14:paraId="2641F790"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b)</w:t>
      </w:r>
      <w:r w:rsidRPr="008C43A9">
        <w:rPr>
          <w:rFonts w:ascii="Times New Roman" w:eastAsia="Calibri" w:hAnsi="Times New Roman" w:cs="Times New Roman"/>
          <w:b/>
          <w:i/>
          <w:color w:val="0000CC"/>
          <w:sz w:val="20"/>
          <w:szCs w:val="20"/>
          <w:lang w:val="en-CA"/>
        </w:rPr>
        <w:tab/>
        <w:t>procedures for care and treatment after exposure, including a definition of financial responsibility</w:t>
      </w:r>
    </w:p>
    <w:p w14:paraId="4BC31392"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c)</w:t>
      </w:r>
      <w:r w:rsidRPr="008C43A9">
        <w:rPr>
          <w:rFonts w:ascii="Times New Roman" w:eastAsia="Calibri" w:hAnsi="Times New Roman" w:cs="Times New Roman"/>
          <w:b/>
          <w:i/>
          <w:color w:val="0000CC"/>
          <w:sz w:val="20"/>
          <w:szCs w:val="20"/>
          <w:lang w:val="en-CA"/>
        </w:rPr>
        <w:tab/>
        <w:t>effects of infectious and environmental disease or disability on medical student learning activities</w:t>
      </w:r>
    </w:p>
    <w:p w14:paraId="15D2B417"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All registered medical students (including visiting students) are informed of these policies before undertaking any educational activities that would place them at risk.</w:t>
      </w:r>
    </w:p>
    <w:p w14:paraId="4F5386FC" w14:textId="77777777" w:rsidR="008C43A9" w:rsidRPr="008C43A9" w:rsidRDefault="008C43A9" w:rsidP="008C43A9">
      <w:pPr>
        <w:widowControl w:val="0"/>
        <w:spacing w:after="0" w:line="240" w:lineRule="auto"/>
        <w:jc w:val="both"/>
        <w:rPr>
          <w:rFonts w:ascii="Times New Roman" w:eastAsia="Calibri" w:hAnsi="Times New Roman" w:cs="Times New Roman"/>
          <w:lang w:val="en-CA"/>
        </w:rPr>
      </w:pPr>
    </w:p>
    <w:p w14:paraId="526E46F7"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12.8-1</w:t>
      </w:r>
      <w:r w:rsidRPr="008C43A9">
        <w:rPr>
          <w:rFonts w:ascii="Times New Roman" w:eastAsia="Calibri" w:hAnsi="Times New Roman" w:cs="Times New Roman"/>
          <w:bCs/>
          <w:iCs/>
          <w:sz w:val="20"/>
          <w:szCs w:val="20"/>
          <w:lang w:val="en-CA"/>
        </w:rPr>
        <w:t xml:space="preserve">  </w:t>
      </w:r>
    </w:p>
    <w:p w14:paraId="6BA54E44"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policies in place that address medical student exposure to infectious and environmental hazards, including:</w:t>
      </w:r>
    </w:p>
    <w:p w14:paraId="3FB86D0E"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bookmarkStart w:id="10" w:name="_Hlk66722799"/>
      <w:r w:rsidRPr="008C43A9">
        <w:rPr>
          <w:rFonts w:ascii="Times New Roman" w:eastAsia="Calibri" w:hAnsi="Times New Roman" w:cs="Times New Roman"/>
          <w:i/>
          <w:sz w:val="20"/>
          <w:szCs w:val="20"/>
          <w:lang w:val="en-CA"/>
        </w:rPr>
        <w:t>education of medical students about methods of prevention</w:t>
      </w:r>
      <w:bookmarkEnd w:id="10"/>
    </w:p>
    <w:p w14:paraId="213C90B9"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procedures for care and treatment after exposure, including a definition of financial responsibility</w:t>
      </w:r>
    </w:p>
    <w:p w14:paraId="2B88CC7F"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effects of infectious and environmental disease or disability on medical student learning activities</w:t>
      </w:r>
    </w:p>
    <w:p w14:paraId="3A19DBF6"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0D182C36" w14:textId="77777777" w:rsidR="008C43A9" w:rsidRPr="008C43A9" w:rsidRDefault="008C43A9" w:rsidP="008C43A9">
      <w:pPr>
        <w:numPr>
          <w:ilvl w:val="0"/>
          <w:numId w:val="24"/>
        </w:numPr>
        <w:spacing w:after="0" w:line="240" w:lineRule="auto"/>
        <w:ind w:left="720" w:hanging="357"/>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medical school policies/guidance documents that show that it addresses medical student exposure to infections or environmental hazards.  Highlight and label the sections of the document(s) that address a) education of medical students about methods of prevention; b) procedures for care and treatment after exposure, including a definition of financial responsibility; c) effects of infection or environmental disease or disability on medical student learning activities. (</w:t>
      </w:r>
      <w:r w:rsidRPr="008C43A9">
        <w:rPr>
          <w:rFonts w:ascii="Times New Roman" w:eastAsia="Calibri" w:hAnsi="Times New Roman" w:cs="Times New Roman"/>
          <w:b/>
          <w:i/>
          <w:color w:val="0000CC"/>
          <w:sz w:val="20"/>
          <w:szCs w:val="20"/>
          <w:lang w:val="en-CA"/>
        </w:rPr>
        <w:t>Appendix 12.8-1 A)</w:t>
      </w:r>
    </w:p>
    <w:p w14:paraId="7364BDCD"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p w14:paraId="7AD2456C"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FBE4C6C"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7286C5BD"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375CE344"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1876812"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12.8-2</w:t>
      </w:r>
      <w:r w:rsidRPr="008C43A9">
        <w:rPr>
          <w:rFonts w:ascii="Times New Roman" w:eastAsia="Calibri" w:hAnsi="Times New Roman" w:cs="Times New Roman"/>
          <w:bCs/>
          <w:iCs/>
          <w:sz w:val="20"/>
          <w:szCs w:val="20"/>
          <w:lang w:val="en-CA"/>
        </w:rPr>
        <w:t xml:space="preserve">  </w:t>
      </w:r>
    </w:p>
    <w:p w14:paraId="42B02F24"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All registered medical students are informed of these policies before undertaking any educational activities that would place them at risk.</w:t>
      </w:r>
    </w:p>
    <w:p w14:paraId="7C0D3F2F"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33DE1D7" w14:textId="77777777" w:rsidR="008C43A9" w:rsidRPr="008C43A9" w:rsidRDefault="008C43A9" w:rsidP="008C43A9">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when and how all medical students learn about the policies/procedures to be followed in the event of their exposure to infectious or environmental hazards before undertaking any educational activities that would place them at risk.</w:t>
      </w:r>
    </w:p>
    <w:p w14:paraId="180DC103"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2B243A4"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BD9C337"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1C23109D"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084125CA" w14:textId="77777777" w:rsidR="008C43A9" w:rsidRPr="008C43A9" w:rsidRDefault="008C43A9" w:rsidP="008C43A9">
      <w:pPr>
        <w:spacing w:after="160" w:line="259" w:lineRule="auto"/>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br w:type="page"/>
      </w:r>
    </w:p>
    <w:p w14:paraId="46536630" w14:textId="77777777" w:rsidR="008C43A9" w:rsidRPr="008C43A9" w:rsidRDefault="008C43A9" w:rsidP="008C43A9">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lastRenderedPageBreak/>
        <w:t>Table 12.8-2 B</w:t>
      </w:r>
    </w:p>
    <w:p w14:paraId="088414EF"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535"/>
        <w:gridCol w:w="3953"/>
        <w:gridCol w:w="1623"/>
        <w:gridCol w:w="1624"/>
        <w:gridCol w:w="1623"/>
        <w:gridCol w:w="265"/>
        <w:gridCol w:w="1359"/>
      </w:tblGrid>
      <w:tr w:rsidR="008C43A9" w:rsidRPr="008C43A9" w14:paraId="2E47B743" w14:textId="77777777" w:rsidTr="00853D1D">
        <w:tc>
          <w:tcPr>
            <w:tcW w:w="1418" w:type="dxa"/>
            <w:tcBorders>
              <w:top w:val="nil"/>
              <w:left w:val="nil"/>
              <w:bottom w:val="single" w:sz="4" w:space="0" w:color="auto"/>
              <w:right w:val="single" w:sz="4" w:space="0" w:color="auto"/>
            </w:tcBorders>
          </w:tcPr>
          <w:p w14:paraId="4E23D1F7"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12.8-2 B</w:t>
            </w:r>
          </w:p>
        </w:tc>
        <w:tc>
          <w:tcPr>
            <w:tcW w:w="11623" w:type="dxa"/>
            <w:gridSpan w:val="6"/>
            <w:tcBorders>
              <w:top w:val="nil"/>
              <w:left w:val="single" w:sz="4" w:space="0" w:color="auto"/>
              <w:bottom w:val="single" w:sz="4" w:space="0" w:color="auto"/>
              <w:right w:val="nil"/>
            </w:tcBorders>
          </w:tcPr>
          <w:p w14:paraId="4F3AD2F6"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Student Knowledge of Post-Exposure Treatment (Core Appendix)</w:t>
            </w:r>
          </w:p>
        </w:tc>
        <w:tc>
          <w:tcPr>
            <w:tcW w:w="1359" w:type="dxa"/>
            <w:tcBorders>
              <w:top w:val="nil"/>
              <w:left w:val="nil"/>
              <w:bottom w:val="single" w:sz="4" w:space="0" w:color="auto"/>
              <w:right w:val="nil"/>
            </w:tcBorders>
          </w:tcPr>
          <w:p w14:paraId="1EBC063B"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Source: ISA </w:t>
            </w:r>
          </w:p>
        </w:tc>
      </w:tr>
      <w:tr w:rsidR="008C43A9" w:rsidRPr="008C43A9" w14:paraId="2872A739" w14:textId="77777777" w:rsidTr="008C43A9">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104E572A"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8C43A9" w:rsidRPr="008C43A9" w14:paraId="4BF54B28" w14:textId="77777777" w:rsidTr="00853D1D">
        <w:tc>
          <w:tcPr>
            <w:tcW w:w="3953" w:type="dxa"/>
            <w:gridSpan w:val="2"/>
            <w:tcBorders>
              <w:top w:val="single" w:sz="4" w:space="0" w:color="auto"/>
              <w:left w:val="single" w:sz="4" w:space="0" w:color="auto"/>
              <w:bottom w:val="single" w:sz="4" w:space="0" w:color="auto"/>
              <w:right w:val="single" w:sz="4" w:space="0" w:color="auto"/>
            </w:tcBorders>
          </w:tcPr>
          <w:p w14:paraId="5185FBB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Campus</w:t>
            </w:r>
          </w:p>
        </w:tc>
        <w:tc>
          <w:tcPr>
            <w:tcW w:w="3953" w:type="dxa"/>
            <w:tcBorders>
              <w:top w:val="single" w:sz="4" w:space="0" w:color="auto"/>
              <w:left w:val="single" w:sz="4" w:space="0" w:color="auto"/>
              <w:bottom w:val="single" w:sz="4" w:space="0" w:color="auto"/>
              <w:right w:val="single" w:sz="4" w:space="0" w:color="auto"/>
            </w:tcBorders>
          </w:tcPr>
          <w:p w14:paraId="1C1581C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Survey Question</w:t>
            </w:r>
          </w:p>
        </w:tc>
        <w:tc>
          <w:tcPr>
            <w:tcW w:w="1623" w:type="dxa"/>
            <w:tcBorders>
              <w:top w:val="single" w:sz="4" w:space="0" w:color="auto"/>
              <w:left w:val="single" w:sz="4" w:space="0" w:color="auto"/>
              <w:bottom w:val="single" w:sz="4" w:space="0" w:color="auto"/>
              <w:right w:val="single" w:sz="4" w:space="0" w:color="auto"/>
            </w:tcBorders>
          </w:tcPr>
          <w:p w14:paraId="002180C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1624" w:type="dxa"/>
            <w:tcBorders>
              <w:top w:val="single" w:sz="4" w:space="0" w:color="auto"/>
              <w:left w:val="single" w:sz="4" w:space="0" w:color="auto"/>
              <w:bottom w:val="single" w:sz="4" w:space="0" w:color="auto"/>
              <w:right w:val="single" w:sz="4" w:space="0" w:color="auto"/>
            </w:tcBorders>
          </w:tcPr>
          <w:p w14:paraId="2055E39B"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1623" w:type="dxa"/>
            <w:tcBorders>
              <w:top w:val="single" w:sz="4" w:space="0" w:color="auto"/>
              <w:left w:val="single" w:sz="4" w:space="0" w:color="auto"/>
              <w:bottom w:val="single" w:sz="4" w:space="0" w:color="auto"/>
              <w:right w:val="single" w:sz="4" w:space="0" w:color="auto"/>
            </w:tcBorders>
          </w:tcPr>
          <w:p w14:paraId="1A096337"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1624" w:type="dxa"/>
            <w:gridSpan w:val="2"/>
            <w:tcBorders>
              <w:top w:val="single" w:sz="4" w:space="0" w:color="auto"/>
              <w:left w:val="single" w:sz="4" w:space="0" w:color="auto"/>
              <w:bottom w:val="single" w:sz="4" w:space="0" w:color="auto"/>
              <w:right w:val="single" w:sz="4" w:space="0" w:color="auto"/>
            </w:tcBorders>
          </w:tcPr>
          <w:p w14:paraId="752FF5C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6B26301C" w14:textId="77777777" w:rsidTr="00853D1D">
        <w:tc>
          <w:tcPr>
            <w:tcW w:w="3953" w:type="dxa"/>
            <w:gridSpan w:val="2"/>
            <w:tcBorders>
              <w:top w:val="single" w:sz="4" w:space="0" w:color="auto"/>
              <w:left w:val="single" w:sz="4" w:space="0" w:color="auto"/>
              <w:bottom w:val="single" w:sz="4" w:space="0" w:color="auto"/>
              <w:right w:val="single" w:sz="4" w:space="0" w:color="auto"/>
            </w:tcBorders>
          </w:tcPr>
          <w:p w14:paraId="1C511247" w14:textId="77777777" w:rsidR="008C43A9" w:rsidRPr="008C43A9" w:rsidRDefault="008C43A9" w:rsidP="008C43A9">
            <w:pPr>
              <w:rPr>
                <w:rFonts w:ascii="Times New Roman" w:eastAsia="Calibri" w:hAnsi="Times New Roman" w:cs="Times New Roman"/>
                <w:sz w:val="19"/>
                <w:szCs w:val="19"/>
                <w:lang w:val="en-CA"/>
              </w:rPr>
            </w:pPr>
          </w:p>
        </w:tc>
        <w:tc>
          <w:tcPr>
            <w:tcW w:w="3953" w:type="dxa"/>
            <w:tcBorders>
              <w:top w:val="single" w:sz="4" w:space="0" w:color="auto"/>
              <w:left w:val="single" w:sz="4" w:space="0" w:color="auto"/>
              <w:bottom w:val="single" w:sz="4" w:space="0" w:color="auto"/>
              <w:right w:val="single" w:sz="4" w:space="0" w:color="auto"/>
            </w:tcBorders>
          </w:tcPr>
          <w:p w14:paraId="6D36F1FA"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 received instruction on steps to take following exposure to infectious or environmental hazards before undertaking any educational activities that would place me at risk.</w:t>
            </w:r>
          </w:p>
        </w:tc>
        <w:tc>
          <w:tcPr>
            <w:tcW w:w="1623" w:type="dxa"/>
            <w:tcBorders>
              <w:top w:val="single" w:sz="4" w:space="0" w:color="auto"/>
              <w:left w:val="single" w:sz="4" w:space="0" w:color="auto"/>
              <w:bottom w:val="single" w:sz="4" w:space="0" w:color="auto"/>
              <w:right w:val="single" w:sz="4" w:space="0" w:color="auto"/>
            </w:tcBorders>
          </w:tcPr>
          <w:p w14:paraId="6FEDE8E5" w14:textId="77777777" w:rsidR="008C43A9" w:rsidRPr="008C43A9" w:rsidRDefault="008C43A9" w:rsidP="008C43A9">
            <w:pPr>
              <w:jc w:val="center"/>
              <w:rPr>
                <w:rFonts w:ascii="Times New Roman" w:eastAsia="Calibri" w:hAnsi="Times New Roman" w:cs="Times New Roman"/>
                <w:sz w:val="19"/>
                <w:szCs w:val="19"/>
                <w:lang w:val="en-CA"/>
              </w:rPr>
            </w:pPr>
          </w:p>
        </w:tc>
        <w:tc>
          <w:tcPr>
            <w:tcW w:w="1624" w:type="dxa"/>
            <w:tcBorders>
              <w:top w:val="single" w:sz="4" w:space="0" w:color="auto"/>
              <w:left w:val="single" w:sz="4" w:space="0" w:color="auto"/>
              <w:bottom w:val="single" w:sz="4" w:space="0" w:color="auto"/>
              <w:right w:val="single" w:sz="4" w:space="0" w:color="auto"/>
            </w:tcBorders>
          </w:tcPr>
          <w:p w14:paraId="150C9ABF" w14:textId="77777777" w:rsidR="008C43A9" w:rsidRPr="008C43A9" w:rsidRDefault="008C43A9" w:rsidP="008C43A9">
            <w:pPr>
              <w:jc w:val="center"/>
              <w:rPr>
                <w:rFonts w:ascii="Times New Roman" w:eastAsia="Calibri" w:hAnsi="Times New Roman" w:cs="Times New Roman"/>
                <w:sz w:val="19"/>
                <w:szCs w:val="19"/>
                <w:lang w:val="en-CA"/>
              </w:rPr>
            </w:pPr>
          </w:p>
        </w:tc>
        <w:tc>
          <w:tcPr>
            <w:tcW w:w="1623" w:type="dxa"/>
            <w:tcBorders>
              <w:top w:val="single" w:sz="4" w:space="0" w:color="auto"/>
              <w:left w:val="single" w:sz="4" w:space="0" w:color="auto"/>
              <w:bottom w:val="single" w:sz="4" w:space="0" w:color="auto"/>
              <w:right w:val="single" w:sz="4" w:space="0" w:color="auto"/>
            </w:tcBorders>
          </w:tcPr>
          <w:p w14:paraId="1F99471D" w14:textId="77777777" w:rsidR="008C43A9" w:rsidRPr="008C43A9" w:rsidRDefault="008C43A9" w:rsidP="008C43A9">
            <w:pPr>
              <w:jc w:val="center"/>
              <w:rPr>
                <w:rFonts w:ascii="Times New Roman" w:eastAsia="Calibri" w:hAnsi="Times New Roman" w:cs="Times New Roman"/>
                <w:sz w:val="19"/>
                <w:szCs w:val="19"/>
                <w:lang w:val="en-CA"/>
              </w:rPr>
            </w:pPr>
          </w:p>
        </w:tc>
        <w:tc>
          <w:tcPr>
            <w:tcW w:w="1624" w:type="dxa"/>
            <w:gridSpan w:val="2"/>
            <w:tcBorders>
              <w:top w:val="single" w:sz="4" w:space="0" w:color="auto"/>
              <w:left w:val="single" w:sz="4" w:space="0" w:color="auto"/>
              <w:bottom w:val="single" w:sz="4" w:space="0" w:color="auto"/>
              <w:right w:val="single" w:sz="4" w:space="0" w:color="auto"/>
            </w:tcBorders>
          </w:tcPr>
          <w:p w14:paraId="5649E014" w14:textId="77777777" w:rsidR="008C43A9" w:rsidRPr="008C43A9" w:rsidRDefault="008C43A9" w:rsidP="008C43A9">
            <w:pPr>
              <w:jc w:val="center"/>
              <w:rPr>
                <w:rFonts w:ascii="Times New Roman" w:eastAsia="Calibri" w:hAnsi="Times New Roman" w:cs="Times New Roman"/>
                <w:sz w:val="19"/>
                <w:szCs w:val="19"/>
                <w:lang w:val="en-CA"/>
              </w:rPr>
            </w:pPr>
          </w:p>
        </w:tc>
      </w:tr>
    </w:tbl>
    <w:p w14:paraId="3310A200"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023AF58"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140A988A"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758AAA3D"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3B1EAA2"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3B832816"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12.8-3</w:t>
      </w:r>
      <w:r w:rsidRPr="008C43A9">
        <w:rPr>
          <w:rFonts w:ascii="Times New Roman" w:eastAsia="Calibri" w:hAnsi="Times New Roman" w:cs="Times New Roman"/>
          <w:bCs/>
          <w:iCs/>
          <w:sz w:val="20"/>
          <w:szCs w:val="20"/>
          <w:lang w:val="en-CA"/>
        </w:rPr>
        <w:t xml:space="preserve"> </w:t>
      </w:r>
    </w:p>
    <w:p w14:paraId="31A5A8AA"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All visiting students are informed of these policies before undertaking any educational activities that would place them at risk.</w:t>
      </w:r>
    </w:p>
    <w:p w14:paraId="3B443EFA"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p w14:paraId="4430BFA8" w14:textId="77777777" w:rsidR="008C43A9" w:rsidRPr="008C43A9" w:rsidRDefault="008C43A9" w:rsidP="008C43A9">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all visiting medical students learn about the policies/procedures to be followed in the event of their exposure to infectious or environmental hazards before undertaking any educational activities that would place them at risk.</w:t>
      </w:r>
    </w:p>
    <w:p w14:paraId="1D356AC6" w14:textId="77777777" w:rsidR="008C43A9" w:rsidRPr="008C43A9" w:rsidRDefault="008C43A9" w:rsidP="008C43A9">
      <w:pPr>
        <w:spacing w:after="0" w:line="240" w:lineRule="auto"/>
        <w:ind w:left="360"/>
        <w:rPr>
          <w:rFonts w:ascii="Times New Roman" w:eastAsia="Calibri" w:hAnsi="Times New Roman" w:cs="Times New Roman"/>
          <w:sz w:val="20"/>
          <w:szCs w:val="20"/>
          <w:lang w:val="en-CA"/>
        </w:rPr>
      </w:pPr>
    </w:p>
    <w:p w14:paraId="254DE022" w14:textId="77777777" w:rsidR="008C43A9" w:rsidRPr="008C43A9" w:rsidRDefault="008C43A9" w:rsidP="008C43A9">
      <w:pPr>
        <w:spacing w:after="0" w:line="240" w:lineRule="auto"/>
        <w:ind w:left="360"/>
        <w:rPr>
          <w:rFonts w:ascii="Times New Roman" w:eastAsia="Calibri" w:hAnsi="Times New Roman" w:cs="Times New Roman"/>
          <w:sz w:val="20"/>
          <w:szCs w:val="20"/>
          <w:lang w:val="en-CA"/>
        </w:rPr>
      </w:pPr>
    </w:p>
    <w:p w14:paraId="379C46A7" w14:textId="77777777" w:rsidR="008C43A9" w:rsidRPr="008C43A9" w:rsidRDefault="008C43A9" w:rsidP="008C43A9">
      <w:pPr>
        <w:spacing w:after="0" w:line="240" w:lineRule="auto"/>
        <w:jc w:val="both"/>
        <w:rPr>
          <w:rFonts w:ascii="Times New Roman" w:eastAsia="Calibri" w:hAnsi="Times New Roman" w:cs="Times New Roman"/>
          <w:sz w:val="20"/>
          <w:szCs w:val="20"/>
          <w:lang w:val="en-CA"/>
        </w:rPr>
      </w:pPr>
    </w:p>
    <w:p w14:paraId="07E59E49" w14:textId="7A74311F" w:rsidR="00542E8F" w:rsidRPr="008C43A9" w:rsidRDefault="00542E8F" w:rsidP="008C43A9"/>
    <w:sectPr w:rsidR="00542E8F" w:rsidRPr="008C43A9" w:rsidSect="004E3464">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10D4F" w14:textId="77777777" w:rsidR="00677F66" w:rsidRDefault="00677F66" w:rsidP="000D2CBB">
      <w:pPr>
        <w:spacing w:after="0" w:line="240" w:lineRule="auto"/>
      </w:pPr>
      <w:r>
        <w:separator/>
      </w:r>
    </w:p>
  </w:endnote>
  <w:endnote w:type="continuationSeparator" w:id="0">
    <w:p w14:paraId="1F603C16" w14:textId="77777777" w:rsidR="00677F66" w:rsidRDefault="00677F66" w:rsidP="000D2CBB">
      <w:pPr>
        <w:spacing w:after="0" w:line="240" w:lineRule="auto"/>
      </w:pPr>
      <w:r>
        <w:continuationSeparator/>
      </w:r>
    </w:p>
  </w:endnote>
  <w:endnote w:type="continuationNotice" w:id="1">
    <w:p w14:paraId="4480B6CC" w14:textId="77777777" w:rsidR="00677F66" w:rsidRDefault="00677F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DD23C" w14:textId="09814B8F" w:rsidR="00B731E8" w:rsidRPr="00B731E8" w:rsidRDefault="00B731E8" w:rsidP="00B731E8">
    <w:pPr>
      <w:pStyle w:val="Footer"/>
      <w:rPr>
        <w:rFonts w:ascii="Times New Roman" w:hAnsi="Times New Roman" w:cs="Times New Roman"/>
        <w:sz w:val="18"/>
        <w:szCs w:val="18"/>
      </w:rPr>
    </w:pPr>
    <w:r w:rsidRPr="00B60255">
      <w:rPr>
        <w:rFonts w:ascii="Times New Roman" w:hAnsi="Times New Roman" w:cs="Times New Roman"/>
        <w:i/>
        <w:sz w:val="18"/>
        <w:szCs w:val="18"/>
        <w:lang w:val="en-CA"/>
      </w:rPr>
      <w:t>CACMS DCI – Standard 12 - AY 202</w:t>
    </w:r>
    <w:r w:rsidR="003862F8">
      <w:rPr>
        <w:rFonts w:ascii="Times New Roman" w:hAnsi="Times New Roman" w:cs="Times New Roman"/>
        <w:i/>
        <w:sz w:val="18"/>
        <w:szCs w:val="18"/>
        <w:lang w:val="en-CA"/>
      </w:rPr>
      <w:t>7</w:t>
    </w:r>
    <w:r w:rsidRPr="00B60255">
      <w:rPr>
        <w:rFonts w:ascii="Times New Roman" w:hAnsi="Times New Roman" w:cs="Times New Roman"/>
        <w:i/>
        <w:sz w:val="18"/>
        <w:szCs w:val="18"/>
        <w:lang w:val="en-CA"/>
      </w:rPr>
      <w:t>-202</w:t>
    </w:r>
    <w:r w:rsidR="003862F8">
      <w:rPr>
        <w:rFonts w:ascii="Times New Roman" w:hAnsi="Times New Roman" w:cs="Times New Roman"/>
        <w:i/>
        <w:sz w:val="18"/>
        <w:szCs w:val="18"/>
        <w:lang w:val="en-CA"/>
      </w:rPr>
      <w:t>8</w:t>
    </w:r>
    <w:r w:rsidR="00CF0132">
      <w:rPr>
        <w:rFonts w:ascii="Times New Roman" w:hAnsi="Times New Roman" w:cs="Times New Roman"/>
        <w:i/>
        <w:sz w:val="18"/>
        <w:szCs w:val="18"/>
        <w:lang w:val="en-CA"/>
      </w:rPr>
      <w:t xml:space="preserve"> </w:t>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sdt>
      <w:sdtPr>
        <w:rPr>
          <w:rFonts w:ascii="Times New Roman" w:hAnsi="Times New Roman" w:cs="Times New Roman"/>
          <w:sz w:val="18"/>
          <w:szCs w:val="18"/>
        </w:rPr>
        <w:id w:val="-1735310146"/>
        <w:docPartObj>
          <w:docPartGallery w:val="Page Numbers (Bottom of Page)"/>
          <w:docPartUnique/>
        </w:docPartObj>
      </w:sdtPr>
      <w:sdtContent>
        <w:sdt>
          <w:sdtPr>
            <w:rPr>
              <w:rFonts w:ascii="Times New Roman" w:hAnsi="Times New Roman" w:cs="Times New Roman"/>
              <w:sz w:val="18"/>
              <w:szCs w:val="18"/>
            </w:rPr>
            <w:id w:val="-1769616900"/>
            <w:docPartObj>
              <w:docPartGallery w:val="Page Numbers (Top of Page)"/>
              <w:docPartUnique/>
            </w:docPartObj>
          </w:sdtPr>
          <w:sdtContent>
            <w:r w:rsidR="00B3500C">
              <w:rPr>
                <w:rFonts w:ascii="Times New Roman" w:hAnsi="Times New Roman" w:cs="Times New Roman"/>
                <w:sz w:val="18"/>
                <w:szCs w:val="18"/>
              </w:rPr>
              <w:t xml:space="preserve">                     </w:t>
            </w:r>
            <w:r w:rsidR="008657F6">
              <w:rPr>
                <w:rFonts w:ascii="Times New Roman" w:hAnsi="Times New Roman" w:cs="Times New Roman"/>
                <w:sz w:val="18"/>
                <w:szCs w:val="18"/>
              </w:rPr>
              <w:t xml:space="preserve">        </w:t>
            </w:r>
            <w:r w:rsidRPr="00B731E8">
              <w:rPr>
                <w:rFonts w:ascii="Times New Roman" w:hAnsi="Times New Roman" w:cs="Times New Roman"/>
                <w:sz w:val="18"/>
                <w:szCs w:val="18"/>
              </w:rPr>
              <w:t xml:space="preserve">Page </w:t>
            </w:r>
            <w:r w:rsidRPr="00B731E8">
              <w:rPr>
                <w:rFonts w:ascii="Times New Roman" w:hAnsi="Times New Roman" w:cs="Times New Roman"/>
                <w:b/>
                <w:bCs/>
                <w:sz w:val="18"/>
                <w:szCs w:val="18"/>
              </w:rPr>
              <w:fldChar w:fldCharType="begin"/>
            </w:r>
            <w:r w:rsidRPr="00B731E8">
              <w:rPr>
                <w:rFonts w:ascii="Times New Roman" w:hAnsi="Times New Roman" w:cs="Times New Roman"/>
                <w:b/>
                <w:bCs/>
                <w:sz w:val="18"/>
                <w:szCs w:val="18"/>
              </w:rPr>
              <w:instrText xml:space="preserve"> PAGE </w:instrText>
            </w:r>
            <w:r w:rsidRPr="00B731E8">
              <w:rPr>
                <w:rFonts w:ascii="Times New Roman" w:hAnsi="Times New Roman" w:cs="Times New Roman"/>
                <w:b/>
                <w:bCs/>
                <w:sz w:val="18"/>
                <w:szCs w:val="18"/>
              </w:rPr>
              <w:fldChar w:fldCharType="separate"/>
            </w:r>
            <w:r w:rsidRPr="00B731E8">
              <w:rPr>
                <w:rFonts w:ascii="Times New Roman" w:hAnsi="Times New Roman" w:cs="Times New Roman"/>
                <w:b/>
                <w:bCs/>
                <w:noProof/>
                <w:sz w:val="18"/>
                <w:szCs w:val="18"/>
              </w:rPr>
              <w:t>2</w:t>
            </w:r>
            <w:r w:rsidRPr="00B731E8">
              <w:rPr>
                <w:rFonts w:ascii="Times New Roman" w:hAnsi="Times New Roman" w:cs="Times New Roman"/>
                <w:b/>
                <w:bCs/>
                <w:sz w:val="18"/>
                <w:szCs w:val="18"/>
              </w:rPr>
              <w:fldChar w:fldCharType="end"/>
            </w:r>
            <w:r w:rsidRPr="00B731E8">
              <w:rPr>
                <w:rFonts w:ascii="Times New Roman" w:hAnsi="Times New Roman" w:cs="Times New Roman"/>
                <w:sz w:val="18"/>
                <w:szCs w:val="18"/>
              </w:rPr>
              <w:t xml:space="preserve"> of </w:t>
            </w:r>
            <w:r w:rsidRPr="00B731E8">
              <w:rPr>
                <w:rFonts w:ascii="Times New Roman" w:hAnsi="Times New Roman" w:cs="Times New Roman"/>
                <w:b/>
                <w:bCs/>
                <w:sz w:val="18"/>
                <w:szCs w:val="18"/>
              </w:rPr>
              <w:fldChar w:fldCharType="begin"/>
            </w:r>
            <w:r w:rsidRPr="00B731E8">
              <w:rPr>
                <w:rFonts w:ascii="Times New Roman" w:hAnsi="Times New Roman" w:cs="Times New Roman"/>
                <w:b/>
                <w:bCs/>
                <w:sz w:val="18"/>
                <w:szCs w:val="18"/>
              </w:rPr>
              <w:instrText xml:space="preserve"> NUMPAGES  </w:instrText>
            </w:r>
            <w:r w:rsidRPr="00B731E8">
              <w:rPr>
                <w:rFonts w:ascii="Times New Roman" w:hAnsi="Times New Roman" w:cs="Times New Roman"/>
                <w:b/>
                <w:bCs/>
                <w:sz w:val="18"/>
                <w:szCs w:val="18"/>
              </w:rPr>
              <w:fldChar w:fldCharType="separate"/>
            </w:r>
            <w:r w:rsidRPr="00B731E8">
              <w:rPr>
                <w:rFonts w:ascii="Times New Roman" w:hAnsi="Times New Roman" w:cs="Times New Roman"/>
                <w:b/>
                <w:bCs/>
                <w:noProof/>
                <w:sz w:val="18"/>
                <w:szCs w:val="18"/>
              </w:rPr>
              <w:t>2</w:t>
            </w:r>
            <w:r w:rsidRPr="00B731E8">
              <w:rPr>
                <w:rFonts w:ascii="Times New Roman" w:hAnsi="Times New Roman" w:cs="Times New Roman"/>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6D490" w14:textId="77777777" w:rsidR="00677F66" w:rsidRDefault="00677F66" w:rsidP="000D2CBB">
      <w:pPr>
        <w:spacing w:after="0" w:line="240" w:lineRule="auto"/>
      </w:pPr>
      <w:r>
        <w:separator/>
      </w:r>
    </w:p>
  </w:footnote>
  <w:footnote w:type="continuationSeparator" w:id="0">
    <w:p w14:paraId="6ECBED8F" w14:textId="77777777" w:rsidR="00677F66" w:rsidRDefault="00677F66" w:rsidP="000D2CBB">
      <w:pPr>
        <w:spacing w:after="0" w:line="240" w:lineRule="auto"/>
      </w:pPr>
      <w:r>
        <w:continuationSeparator/>
      </w:r>
    </w:p>
  </w:footnote>
  <w:footnote w:type="continuationNotice" w:id="1">
    <w:p w14:paraId="6D58AA74" w14:textId="77777777" w:rsidR="00677F66" w:rsidRDefault="00677F6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D1697"/>
    <w:multiLevelType w:val="hybridMultilevel"/>
    <w:tmpl w:val="C0843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E3963AB"/>
    <w:multiLevelType w:val="hybridMultilevel"/>
    <w:tmpl w:val="CD8607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24056EE"/>
    <w:multiLevelType w:val="hybridMultilevel"/>
    <w:tmpl w:val="251E73BC"/>
    <w:lvl w:ilvl="0" w:tplc="BEF2E696">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29930AB"/>
    <w:multiLevelType w:val="hybridMultilevel"/>
    <w:tmpl w:val="AC3A9C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AF610FB"/>
    <w:multiLevelType w:val="hybridMultilevel"/>
    <w:tmpl w:val="275EC9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D905C14"/>
    <w:multiLevelType w:val="hybridMultilevel"/>
    <w:tmpl w:val="68BC8174"/>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E740F74"/>
    <w:multiLevelType w:val="hybridMultilevel"/>
    <w:tmpl w:val="334443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79C102E"/>
    <w:multiLevelType w:val="hybridMultilevel"/>
    <w:tmpl w:val="C8FE74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BBE3B35"/>
    <w:multiLevelType w:val="hybridMultilevel"/>
    <w:tmpl w:val="293C69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1010C6F"/>
    <w:multiLevelType w:val="hybridMultilevel"/>
    <w:tmpl w:val="6C2C55BC"/>
    <w:lvl w:ilvl="0" w:tplc="10090019">
      <w:start w:val="1"/>
      <w:numFmt w:val="lowerLetter"/>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13" w15:restartNumberingAfterBreak="0">
    <w:nsid w:val="4412259C"/>
    <w:multiLevelType w:val="hybridMultilevel"/>
    <w:tmpl w:val="3B7C6A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7F132B7"/>
    <w:multiLevelType w:val="hybridMultilevel"/>
    <w:tmpl w:val="8F72B258"/>
    <w:lvl w:ilvl="0" w:tplc="E046894C">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9F633FB"/>
    <w:multiLevelType w:val="hybridMultilevel"/>
    <w:tmpl w:val="D8B094B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B635E7C"/>
    <w:multiLevelType w:val="hybridMultilevel"/>
    <w:tmpl w:val="210E7F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733B31"/>
    <w:multiLevelType w:val="hybridMultilevel"/>
    <w:tmpl w:val="5100EE24"/>
    <w:lvl w:ilvl="0" w:tplc="2E1A1EA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BBF6A35"/>
    <w:multiLevelType w:val="hybridMultilevel"/>
    <w:tmpl w:val="A63A79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754533"/>
    <w:multiLevelType w:val="hybridMultilevel"/>
    <w:tmpl w:val="013214F6"/>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8F60575"/>
    <w:multiLevelType w:val="hybridMultilevel"/>
    <w:tmpl w:val="3398D6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BE74614"/>
    <w:multiLevelType w:val="hybridMultilevel"/>
    <w:tmpl w:val="80EA0F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D7F7F3A"/>
    <w:multiLevelType w:val="hybridMultilevel"/>
    <w:tmpl w:val="556EB1C4"/>
    <w:lvl w:ilvl="0" w:tplc="CE94AF54">
      <w:start w:val="1"/>
      <w:numFmt w:val="upperLetter"/>
      <w:lvlText w:val="%1."/>
      <w:lvlJc w:val="left"/>
      <w:pPr>
        <w:ind w:left="360" w:hanging="360"/>
      </w:pPr>
      <w:rPr>
        <w:rFonts w:hint="default"/>
      </w:rPr>
    </w:lvl>
    <w:lvl w:ilvl="1" w:tplc="10090019" w:tentative="1">
      <w:start w:val="1"/>
      <w:numFmt w:val="lowerLetter"/>
      <w:lvlText w:val="%2."/>
      <w:lvlJc w:val="left"/>
      <w:pPr>
        <w:ind w:left="0" w:hanging="360"/>
      </w:pPr>
    </w:lvl>
    <w:lvl w:ilvl="2" w:tplc="1009001B" w:tentative="1">
      <w:start w:val="1"/>
      <w:numFmt w:val="lowerRoman"/>
      <w:lvlText w:val="%3."/>
      <w:lvlJc w:val="right"/>
      <w:pPr>
        <w:ind w:left="720" w:hanging="180"/>
      </w:pPr>
    </w:lvl>
    <w:lvl w:ilvl="3" w:tplc="1009000F" w:tentative="1">
      <w:start w:val="1"/>
      <w:numFmt w:val="decimal"/>
      <w:lvlText w:val="%4."/>
      <w:lvlJc w:val="left"/>
      <w:pPr>
        <w:ind w:left="1440" w:hanging="360"/>
      </w:pPr>
    </w:lvl>
    <w:lvl w:ilvl="4" w:tplc="10090019" w:tentative="1">
      <w:start w:val="1"/>
      <w:numFmt w:val="lowerLetter"/>
      <w:lvlText w:val="%5."/>
      <w:lvlJc w:val="left"/>
      <w:pPr>
        <w:ind w:left="2160" w:hanging="360"/>
      </w:pPr>
    </w:lvl>
    <w:lvl w:ilvl="5" w:tplc="1009001B" w:tentative="1">
      <w:start w:val="1"/>
      <w:numFmt w:val="lowerRoman"/>
      <w:lvlText w:val="%6."/>
      <w:lvlJc w:val="right"/>
      <w:pPr>
        <w:ind w:left="2880" w:hanging="180"/>
      </w:pPr>
    </w:lvl>
    <w:lvl w:ilvl="6" w:tplc="1009000F" w:tentative="1">
      <w:start w:val="1"/>
      <w:numFmt w:val="decimal"/>
      <w:lvlText w:val="%7."/>
      <w:lvlJc w:val="left"/>
      <w:pPr>
        <w:ind w:left="3600" w:hanging="360"/>
      </w:pPr>
    </w:lvl>
    <w:lvl w:ilvl="7" w:tplc="10090019" w:tentative="1">
      <w:start w:val="1"/>
      <w:numFmt w:val="lowerLetter"/>
      <w:lvlText w:val="%8."/>
      <w:lvlJc w:val="left"/>
      <w:pPr>
        <w:ind w:left="4320" w:hanging="360"/>
      </w:pPr>
    </w:lvl>
    <w:lvl w:ilvl="8" w:tplc="1009001B" w:tentative="1">
      <w:start w:val="1"/>
      <w:numFmt w:val="lowerRoman"/>
      <w:lvlText w:val="%9."/>
      <w:lvlJc w:val="right"/>
      <w:pPr>
        <w:ind w:left="5040" w:hanging="180"/>
      </w:pPr>
    </w:lvl>
  </w:abstractNum>
  <w:abstractNum w:abstractNumId="25" w15:restartNumberingAfterBreak="0">
    <w:nsid w:val="7F773B40"/>
    <w:multiLevelType w:val="hybridMultilevel"/>
    <w:tmpl w:val="84925778"/>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1427844449">
    <w:abstractNumId w:val="20"/>
  </w:num>
  <w:num w:numId="2" w16cid:durableId="614871362">
    <w:abstractNumId w:val="9"/>
  </w:num>
  <w:num w:numId="3" w16cid:durableId="851532239">
    <w:abstractNumId w:val="12"/>
  </w:num>
  <w:num w:numId="4" w16cid:durableId="894511752">
    <w:abstractNumId w:val="21"/>
  </w:num>
  <w:num w:numId="5" w16cid:durableId="2137287323">
    <w:abstractNumId w:val="25"/>
  </w:num>
  <w:num w:numId="6" w16cid:durableId="1916355652">
    <w:abstractNumId w:val="15"/>
  </w:num>
  <w:num w:numId="7" w16cid:durableId="1905948032">
    <w:abstractNumId w:val="7"/>
  </w:num>
  <w:num w:numId="8" w16cid:durableId="1678652145">
    <w:abstractNumId w:val="1"/>
  </w:num>
  <w:num w:numId="9" w16cid:durableId="341512379">
    <w:abstractNumId w:val="5"/>
  </w:num>
  <w:num w:numId="10" w16cid:durableId="56131229">
    <w:abstractNumId w:val="18"/>
  </w:num>
  <w:num w:numId="11" w16cid:durableId="2078699020">
    <w:abstractNumId w:val="19"/>
  </w:num>
  <w:num w:numId="12" w16cid:durableId="699479889">
    <w:abstractNumId w:val="16"/>
  </w:num>
  <w:num w:numId="13" w16cid:durableId="1741710270">
    <w:abstractNumId w:val="13"/>
  </w:num>
  <w:num w:numId="14" w16cid:durableId="963195636">
    <w:abstractNumId w:val="0"/>
  </w:num>
  <w:num w:numId="15" w16cid:durableId="690303712">
    <w:abstractNumId w:val="23"/>
  </w:num>
  <w:num w:numId="16" w16cid:durableId="1050419586">
    <w:abstractNumId w:val="22"/>
  </w:num>
  <w:num w:numId="17" w16cid:durableId="253251194">
    <w:abstractNumId w:val="11"/>
  </w:num>
  <w:num w:numId="18" w16cid:durableId="1522474944">
    <w:abstractNumId w:val="4"/>
  </w:num>
  <w:num w:numId="19" w16cid:durableId="372266800">
    <w:abstractNumId w:val="8"/>
  </w:num>
  <w:num w:numId="20" w16cid:durableId="2090300115">
    <w:abstractNumId w:val="3"/>
  </w:num>
  <w:num w:numId="21" w16cid:durableId="568076180">
    <w:abstractNumId w:val="14"/>
  </w:num>
  <w:num w:numId="22" w16cid:durableId="825827082">
    <w:abstractNumId w:val="2"/>
  </w:num>
  <w:num w:numId="23" w16cid:durableId="1474102406">
    <w:abstractNumId w:val="10"/>
  </w:num>
  <w:num w:numId="24" w16cid:durableId="1723140264">
    <w:abstractNumId w:val="24"/>
  </w:num>
  <w:num w:numId="25" w16cid:durableId="726339351">
    <w:abstractNumId w:val="17"/>
  </w:num>
  <w:num w:numId="26" w16cid:durableId="474639581">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ysDQwM7IwNzczM7dU0lEKTi0uzszPAymwqAUAUiR/fCwAAAA="/>
  </w:docVars>
  <w:rsids>
    <w:rsidRoot w:val="000D2CBB"/>
    <w:rsid w:val="00003DD7"/>
    <w:rsid w:val="000170E7"/>
    <w:rsid w:val="00017955"/>
    <w:rsid w:val="00020892"/>
    <w:rsid w:val="00024386"/>
    <w:rsid w:val="000259EB"/>
    <w:rsid w:val="00033B84"/>
    <w:rsid w:val="000348C7"/>
    <w:rsid w:val="00036FE7"/>
    <w:rsid w:val="000448D3"/>
    <w:rsid w:val="00045A43"/>
    <w:rsid w:val="00051A0F"/>
    <w:rsid w:val="0005363A"/>
    <w:rsid w:val="000573CB"/>
    <w:rsid w:val="000635AF"/>
    <w:rsid w:val="00066C90"/>
    <w:rsid w:val="00074FA4"/>
    <w:rsid w:val="00077268"/>
    <w:rsid w:val="000801A1"/>
    <w:rsid w:val="00081750"/>
    <w:rsid w:val="00082EB9"/>
    <w:rsid w:val="000837AB"/>
    <w:rsid w:val="00084011"/>
    <w:rsid w:val="00084D74"/>
    <w:rsid w:val="0008525E"/>
    <w:rsid w:val="00095947"/>
    <w:rsid w:val="000A28BD"/>
    <w:rsid w:val="000A2DC3"/>
    <w:rsid w:val="000A69E4"/>
    <w:rsid w:val="000B0103"/>
    <w:rsid w:val="000B183E"/>
    <w:rsid w:val="000B4271"/>
    <w:rsid w:val="000B4FD7"/>
    <w:rsid w:val="000C4BED"/>
    <w:rsid w:val="000C6314"/>
    <w:rsid w:val="000C7691"/>
    <w:rsid w:val="000D2CBB"/>
    <w:rsid w:val="000D7823"/>
    <w:rsid w:val="000E205C"/>
    <w:rsid w:val="000E26DF"/>
    <w:rsid w:val="000F0655"/>
    <w:rsid w:val="000F39ED"/>
    <w:rsid w:val="00111812"/>
    <w:rsid w:val="00111ED3"/>
    <w:rsid w:val="00112D93"/>
    <w:rsid w:val="001137C7"/>
    <w:rsid w:val="00114E13"/>
    <w:rsid w:val="001266F5"/>
    <w:rsid w:val="00133C62"/>
    <w:rsid w:val="00134110"/>
    <w:rsid w:val="00135636"/>
    <w:rsid w:val="0014065F"/>
    <w:rsid w:val="00141AC1"/>
    <w:rsid w:val="00146615"/>
    <w:rsid w:val="0015124F"/>
    <w:rsid w:val="0015284A"/>
    <w:rsid w:val="00156732"/>
    <w:rsid w:val="0015708F"/>
    <w:rsid w:val="00160875"/>
    <w:rsid w:val="00161766"/>
    <w:rsid w:val="0017327E"/>
    <w:rsid w:val="00181F84"/>
    <w:rsid w:val="001841C8"/>
    <w:rsid w:val="00185AF7"/>
    <w:rsid w:val="00190804"/>
    <w:rsid w:val="001914CD"/>
    <w:rsid w:val="00191B65"/>
    <w:rsid w:val="00196182"/>
    <w:rsid w:val="001A0DC7"/>
    <w:rsid w:val="001A14C0"/>
    <w:rsid w:val="001A5B3F"/>
    <w:rsid w:val="001A7A1B"/>
    <w:rsid w:val="001A7B73"/>
    <w:rsid w:val="001B06AF"/>
    <w:rsid w:val="001B11C7"/>
    <w:rsid w:val="001B19AB"/>
    <w:rsid w:val="001C02FE"/>
    <w:rsid w:val="001C25C6"/>
    <w:rsid w:val="001D14F9"/>
    <w:rsid w:val="001D260A"/>
    <w:rsid w:val="001E6D04"/>
    <w:rsid w:val="001E6D9C"/>
    <w:rsid w:val="001E7B4A"/>
    <w:rsid w:val="001F4E2B"/>
    <w:rsid w:val="001F55A3"/>
    <w:rsid w:val="00200C8E"/>
    <w:rsid w:val="002011D6"/>
    <w:rsid w:val="002043B9"/>
    <w:rsid w:val="00211A75"/>
    <w:rsid w:val="002121A7"/>
    <w:rsid w:val="00217BDB"/>
    <w:rsid w:val="0023734C"/>
    <w:rsid w:val="00240DB4"/>
    <w:rsid w:val="002417C3"/>
    <w:rsid w:val="00241E29"/>
    <w:rsid w:val="00255D2D"/>
    <w:rsid w:val="00266E14"/>
    <w:rsid w:val="00266EB9"/>
    <w:rsid w:val="00266F28"/>
    <w:rsid w:val="00270155"/>
    <w:rsid w:val="00287C60"/>
    <w:rsid w:val="0029153F"/>
    <w:rsid w:val="00292905"/>
    <w:rsid w:val="00293670"/>
    <w:rsid w:val="002A3ED3"/>
    <w:rsid w:val="002B73FC"/>
    <w:rsid w:val="002C6678"/>
    <w:rsid w:val="002D33E4"/>
    <w:rsid w:val="002D72B2"/>
    <w:rsid w:val="002E26AD"/>
    <w:rsid w:val="002E29A8"/>
    <w:rsid w:val="002F0B09"/>
    <w:rsid w:val="002F7D7B"/>
    <w:rsid w:val="00303C48"/>
    <w:rsid w:val="00307266"/>
    <w:rsid w:val="003108F9"/>
    <w:rsid w:val="003155B6"/>
    <w:rsid w:val="0031778E"/>
    <w:rsid w:val="003205C4"/>
    <w:rsid w:val="00321FC4"/>
    <w:rsid w:val="00326D4D"/>
    <w:rsid w:val="00337763"/>
    <w:rsid w:val="00337B78"/>
    <w:rsid w:val="003407B1"/>
    <w:rsid w:val="0034415C"/>
    <w:rsid w:val="003453D8"/>
    <w:rsid w:val="00353885"/>
    <w:rsid w:val="003607C2"/>
    <w:rsid w:val="00361272"/>
    <w:rsid w:val="00366AA1"/>
    <w:rsid w:val="00370799"/>
    <w:rsid w:val="003831A7"/>
    <w:rsid w:val="003862F8"/>
    <w:rsid w:val="0039135E"/>
    <w:rsid w:val="00391FD1"/>
    <w:rsid w:val="00396198"/>
    <w:rsid w:val="00397A6B"/>
    <w:rsid w:val="003A0ECF"/>
    <w:rsid w:val="003A0F2E"/>
    <w:rsid w:val="003A1A53"/>
    <w:rsid w:val="003A1D9C"/>
    <w:rsid w:val="003A2825"/>
    <w:rsid w:val="003A4393"/>
    <w:rsid w:val="003D1816"/>
    <w:rsid w:val="003D1EAB"/>
    <w:rsid w:val="003D6B08"/>
    <w:rsid w:val="003E00D3"/>
    <w:rsid w:val="003E3813"/>
    <w:rsid w:val="003F3848"/>
    <w:rsid w:val="003F3C3E"/>
    <w:rsid w:val="003F4D27"/>
    <w:rsid w:val="003F59B3"/>
    <w:rsid w:val="00403BDC"/>
    <w:rsid w:val="004048B0"/>
    <w:rsid w:val="00415E8B"/>
    <w:rsid w:val="004221F7"/>
    <w:rsid w:val="0042528D"/>
    <w:rsid w:val="004318B9"/>
    <w:rsid w:val="00433C59"/>
    <w:rsid w:val="004360DF"/>
    <w:rsid w:val="004408F5"/>
    <w:rsid w:val="00443841"/>
    <w:rsid w:val="0044791E"/>
    <w:rsid w:val="004537B6"/>
    <w:rsid w:val="00455420"/>
    <w:rsid w:val="00456853"/>
    <w:rsid w:val="00462EFE"/>
    <w:rsid w:val="00464469"/>
    <w:rsid w:val="00470DA5"/>
    <w:rsid w:val="00470F27"/>
    <w:rsid w:val="00471D63"/>
    <w:rsid w:val="00475AED"/>
    <w:rsid w:val="00476042"/>
    <w:rsid w:val="004775D5"/>
    <w:rsid w:val="00481675"/>
    <w:rsid w:val="0048304C"/>
    <w:rsid w:val="00485490"/>
    <w:rsid w:val="00486E41"/>
    <w:rsid w:val="00495FBA"/>
    <w:rsid w:val="004A02CF"/>
    <w:rsid w:val="004A15A5"/>
    <w:rsid w:val="004A28A1"/>
    <w:rsid w:val="004A31C6"/>
    <w:rsid w:val="004A5214"/>
    <w:rsid w:val="004B4967"/>
    <w:rsid w:val="004C1F2F"/>
    <w:rsid w:val="004C478B"/>
    <w:rsid w:val="004D037A"/>
    <w:rsid w:val="004D1378"/>
    <w:rsid w:val="004D238D"/>
    <w:rsid w:val="004D3664"/>
    <w:rsid w:val="004D64D2"/>
    <w:rsid w:val="004E3464"/>
    <w:rsid w:val="004E45A9"/>
    <w:rsid w:val="004F181F"/>
    <w:rsid w:val="004F27AE"/>
    <w:rsid w:val="004F28B7"/>
    <w:rsid w:val="004F4A79"/>
    <w:rsid w:val="00501520"/>
    <w:rsid w:val="0050152C"/>
    <w:rsid w:val="005074F5"/>
    <w:rsid w:val="00511EEB"/>
    <w:rsid w:val="00512411"/>
    <w:rsid w:val="00512ABA"/>
    <w:rsid w:val="00514F97"/>
    <w:rsid w:val="00523859"/>
    <w:rsid w:val="00530D97"/>
    <w:rsid w:val="00532714"/>
    <w:rsid w:val="00535F71"/>
    <w:rsid w:val="00542E8F"/>
    <w:rsid w:val="005462D8"/>
    <w:rsid w:val="00553919"/>
    <w:rsid w:val="00556BA0"/>
    <w:rsid w:val="00571AE9"/>
    <w:rsid w:val="005734BC"/>
    <w:rsid w:val="00574C48"/>
    <w:rsid w:val="005806DF"/>
    <w:rsid w:val="005860A3"/>
    <w:rsid w:val="0058689E"/>
    <w:rsid w:val="00595972"/>
    <w:rsid w:val="00596D6A"/>
    <w:rsid w:val="005A0B16"/>
    <w:rsid w:val="005A2E76"/>
    <w:rsid w:val="005A57F7"/>
    <w:rsid w:val="005B0430"/>
    <w:rsid w:val="005B23BD"/>
    <w:rsid w:val="005B4BFE"/>
    <w:rsid w:val="005B5A1A"/>
    <w:rsid w:val="005C562D"/>
    <w:rsid w:val="005D07C7"/>
    <w:rsid w:val="005D2562"/>
    <w:rsid w:val="005E3601"/>
    <w:rsid w:val="005E46A6"/>
    <w:rsid w:val="005E64F2"/>
    <w:rsid w:val="005F0A9E"/>
    <w:rsid w:val="005F2C58"/>
    <w:rsid w:val="0060160B"/>
    <w:rsid w:val="00612F34"/>
    <w:rsid w:val="0061719E"/>
    <w:rsid w:val="0062168B"/>
    <w:rsid w:val="0063095D"/>
    <w:rsid w:val="00634A98"/>
    <w:rsid w:val="006509DB"/>
    <w:rsid w:val="00651D7D"/>
    <w:rsid w:val="00652234"/>
    <w:rsid w:val="00661672"/>
    <w:rsid w:val="00664254"/>
    <w:rsid w:val="00667925"/>
    <w:rsid w:val="00677F66"/>
    <w:rsid w:val="006812DD"/>
    <w:rsid w:val="00681C6F"/>
    <w:rsid w:val="0068483C"/>
    <w:rsid w:val="00686CC2"/>
    <w:rsid w:val="00687FF9"/>
    <w:rsid w:val="00694A86"/>
    <w:rsid w:val="006A0673"/>
    <w:rsid w:val="006A0B2F"/>
    <w:rsid w:val="006A1A29"/>
    <w:rsid w:val="006A2BD4"/>
    <w:rsid w:val="006B4576"/>
    <w:rsid w:val="006C04B3"/>
    <w:rsid w:val="006C19BE"/>
    <w:rsid w:val="006C78A4"/>
    <w:rsid w:val="006D03FE"/>
    <w:rsid w:val="006D2525"/>
    <w:rsid w:val="006D2B65"/>
    <w:rsid w:val="006D3436"/>
    <w:rsid w:val="006D652E"/>
    <w:rsid w:val="006E384C"/>
    <w:rsid w:val="006E4F14"/>
    <w:rsid w:val="006E6848"/>
    <w:rsid w:val="006F296B"/>
    <w:rsid w:val="006F3AC9"/>
    <w:rsid w:val="006F5A65"/>
    <w:rsid w:val="00702FAD"/>
    <w:rsid w:val="00703B90"/>
    <w:rsid w:val="00706B27"/>
    <w:rsid w:val="007102CB"/>
    <w:rsid w:val="00711B8D"/>
    <w:rsid w:val="00712387"/>
    <w:rsid w:val="0071282A"/>
    <w:rsid w:val="00716992"/>
    <w:rsid w:val="007227C6"/>
    <w:rsid w:val="00723430"/>
    <w:rsid w:val="00726D65"/>
    <w:rsid w:val="00734393"/>
    <w:rsid w:val="00736597"/>
    <w:rsid w:val="00736F05"/>
    <w:rsid w:val="0074005B"/>
    <w:rsid w:val="00741D8F"/>
    <w:rsid w:val="00747B3D"/>
    <w:rsid w:val="00747C57"/>
    <w:rsid w:val="00747CC7"/>
    <w:rsid w:val="007513AE"/>
    <w:rsid w:val="007523F4"/>
    <w:rsid w:val="00753CB6"/>
    <w:rsid w:val="00754F20"/>
    <w:rsid w:val="00755A05"/>
    <w:rsid w:val="00762EEC"/>
    <w:rsid w:val="007637C5"/>
    <w:rsid w:val="00764779"/>
    <w:rsid w:val="007727C2"/>
    <w:rsid w:val="00772D36"/>
    <w:rsid w:val="0077387A"/>
    <w:rsid w:val="00774B31"/>
    <w:rsid w:val="00776A33"/>
    <w:rsid w:val="0078354B"/>
    <w:rsid w:val="0079081E"/>
    <w:rsid w:val="00796B8B"/>
    <w:rsid w:val="007A34A7"/>
    <w:rsid w:val="007A55F4"/>
    <w:rsid w:val="007A71F2"/>
    <w:rsid w:val="007B28BF"/>
    <w:rsid w:val="007B302D"/>
    <w:rsid w:val="007B3F43"/>
    <w:rsid w:val="007B4C5F"/>
    <w:rsid w:val="007B5455"/>
    <w:rsid w:val="007C16BE"/>
    <w:rsid w:val="007D0E84"/>
    <w:rsid w:val="007D7D64"/>
    <w:rsid w:val="007F0EE4"/>
    <w:rsid w:val="007F4DE7"/>
    <w:rsid w:val="007F797C"/>
    <w:rsid w:val="007F7B1C"/>
    <w:rsid w:val="008000A2"/>
    <w:rsid w:val="00800945"/>
    <w:rsid w:val="00811F6B"/>
    <w:rsid w:val="00812754"/>
    <w:rsid w:val="00817451"/>
    <w:rsid w:val="00817EE9"/>
    <w:rsid w:val="00820378"/>
    <w:rsid w:val="0082554F"/>
    <w:rsid w:val="00827454"/>
    <w:rsid w:val="008300AF"/>
    <w:rsid w:val="008306F1"/>
    <w:rsid w:val="008373C8"/>
    <w:rsid w:val="00843528"/>
    <w:rsid w:val="008441F6"/>
    <w:rsid w:val="00846959"/>
    <w:rsid w:val="00850E5B"/>
    <w:rsid w:val="008618AB"/>
    <w:rsid w:val="00861DDA"/>
    <w:rsid w:val="00863ED8"/>
    <w:rsid w:val="008657F6"/>
    <w:rsid w:val="008671C6"/>
    <w:rsid w:val="00875217"/>
    <w:rsid w:val="008838F6"/>
    <w:rsid w:val="00890F16"/>
    <w:rsid w:val="008A14EE"/>
    <w:rsid w:val="008A7F0E"/>
    <w:rsid w:val="008B14E0"/>
    <w:rsid w:val="008B5B6C"/>
    <w:rsid w:val="008B6A8F"/>
    <w:rsid w:val="008C3576"/>
    <w:rsid w:val="008C43A9"/>
    <w:rsid w:val="008E00C0"/>
    <w:rsid w:val="008E4291"/>
    <w:rsid w:val="008E5220"/>
    <w:rsid w:val="008E6A6D"/>
    <w:rsid w:val="008F070E"/>
    <w:rsid w:val="008F20C9"/>
    <w:rsid w:val="008F4794"/>
    <w:rsid w:val="00903D83"/>
    <w:rsid w:val="0091098A"/>
    <w:rsid w:val="00922193"/>
    <w:rsid w:val="00923CD0"/>
    <w:rsid w:val="00926812"/>
    <w:rsid w:val="00926D9B"/>
    <w:rsid w:val="00937142"/>
    <w:rsid w:val="00943434"/>
    <w:rsid w:val="00960BE9"/>
    <w:rsid w:val="0096153A"/>
    <w:rsid w:val="00963C7E"/>
    <w:rsid w:val="009671B3"/>
    <w:rsid w:val="00970097"/>
    <w:rsid w:val="00972134"/>
    <w:rsid w:val="0098113B"/>
    <w:rsid w:val="00985A74"/>
    <w:rsid w:val="0098737D"/>
    <w:rsid w:val="00991022"/>
    <w:rsid w:val="0099155F"/>
    <w:rsid w:val="009A0B30"/>
    <w:rsid w:val="009A2639"/>
    <w:rsid w:val="009A30F3"/>
    <w:rsid w:val="009A350A"/>
    <w:rsid w:val="009C6342"/>
    <w:rsid w:val="009C779C"/>
    <w:rsid w:val="009D0022"/>
    <w:rsid w:val="009D0152"/>
    <w:rsid w:val="009D4DD5"/>
    <w:rsid w:val="009D5DDC"/>
    <w:rsid w:val="009D67E4"/>
    <w:rsid w:val="009D7C36"/>
    <w:rsid w:val="009E592E"/>
    <w:rsid w:val="009F000A"/>
    <w:rsid w:val="009F1547"/>
    <w:rsid w:val="009F7045"/>
    <w:rsid w:val="009F793E"/>
    <w:rsid w:val="00A01DF8"/>
    <w:rsid w:val="00A0204D"/>
    <w:rsid w:val="00A02F2B"/>
    <w:rsid w:val="00A04074"/>
    <w:rsid w:val="00A05CCA"/>
    <w:rsid w:val="00A175F9"/>
    <w:rsid w:val="00A22D80"/>
    <w:rsid w:val="00A255DF"/>
    <w:rsid w:val="00A25B9F"/>
    <w:rsid w:val="00A2631C"/>
    <w:rsid w:val="00A27D1B"/>
    <w:rsid w:val="00A35E0B"/>
    <w:rsid w:val="00A37849"/>
    <w:rsid w:val="00A41590"/>
    <w:rsid w:val="00A415B6"/>
    <w:rsid w:val="00A43727"/>
    <w:rsid w:val="00A50DFA"/>
    <w:rsid w:val="00A522BA"/>
    <w:rsid w:val="00A54AEE"/>
    <w:rsid w:val="00A61A97"/>
    <w:rsid w:val="00A6455B"/>
    <w:rsid w:val="00A65331"/>
    <w:rsid w:val="00A653A0"/>
    <w:rsid w:val="00A66681"/>
    <w:rsid w:val="00A70993"/>
    <w:rsid w:val="00A71B17"/>
    <w:rsid w:val="00A74369"/>
    <w:rsid w:val="00A74A46"/>
    <w:rsid w:val="00A76779"/>
    <w:rsid w:val="00A84A02"/>
    <w:rsid w:val="00A934B5"/>
    <w:rsid w:val="00A9429A"/>
    <w:rsid w:val="00AA15A6"/>
    <w:rsid w:val="00AA17D0"/>
    <w:rsid w:val="00AB219F"/>
    <w:rsid w:val="00AB68BE"/>
    <w:rsid w:val="00AC0FBF"/>
    <w:rsid w:val="00AC42D2"/>
    <w:rsid w:val="00AC732B"/>
    <w:rsid w:val="00AD051E"/>
    <w:rsid w:val="00AD7163"/>
    <w:rsid w:val="00AD7190"/>
    <w:rsid w:val="00AE603F"/>
    <w:rsid w:val="00AE75F3"/>
    <w:rsid w:val="00AE76CD"/>
    <w:rsid w:val="00B047A6"/>
    <w:rsid w:val="00B04F08"/>
    <w:rsid w:val="00B16597"/>
    <w:rsid w:val="00B349AB"/>
    <w:rsid w:val="00B3500C"/>
    <w:rsid w:val="00B405F5"/>
    <w:rsid w:val="00B41F10"/>
    <w:rsid w:val="00B4208F"/>
    <w:rsid w:val="00B44AE3"/>
    <w:rsid w:val="00B45969"/>
    <w:rsid w:val="00B473A5"/>
    <w:rsid w:val="00B60255"/>
    <w:rsid w:val="00B62020"/>
    <w:rsid w:val="00B62188"/>
    <w:rsid w:val="00B66204"/>
    <w:rsid w:val="00B67677"/>
    <w:rsid w:val="00B70733"/>
    <w:rsid w:val="00B731E8"/>
    <w:rsid w:val="00B812A6"/>
    <w:rsid w:val="00B814C5"/>
    <w:rsid w:val="00B81A8F"/>
    <w:rsid w:val="00B9580D"/>
    <w:rsid w:val="00BA20B7"/>
    <w:rsid w:val="00BA7E34"/>
    <w:rsid w:val="00BB37EF"/>
    <w:rsid w:val="00BB5849"/>
    <w:rsid w:val="00BB7BF0"/>
    <w:rsid w:val="00BC1343"/>
    <w:rsid w:val="00BD3A65"/>
    <w:rsid w:val="00BD62C0"/>
    <w:rsid w:val="00C0124E"/>
    <w:rsid w:val="00C044C4"/>
    <w:rsid w:val="00C05EBE"/>
    <w:rsid w:val="00C13AC0"/>
    <w:rsid w:val="00C13FAA"/>
    <w:rsid w:val="00C203C1"/>
    <w:rsid w:val="00C22D04"/>
    <w:rsid w:val="00C33200"/>
    <w:rsid w:val="00C346A1"/>
    <w:rsid w:val="00C34EA6"/>
    <w:rsid w:val="00C4187D"/>
    <w:rsid w:val="00C43330"/>
    <w:rsid w:val="00C46446"/>
    <w:rsid w:val="00C53515"/>
    <w:rsid w:val="00C6056E"/>
    <w:rsid w:val="00C60655"/>
    <w:rsid w:val="00C63180"/>
    <w:rsid w:val="00C636D0"/>
    <w:rsid w:val="00C67249"/>
    <w:rsid w:val="00C71F01"/>
    <w:rsid w:val="00C73896"/>
    <w:rsid w:val="00C81904"/>
    <w:rsid w:val="00C85FE9"/>
    <w:rsid w:val="00C9073A"/>
    <w:rsid w:val="00C92312"/>
    <w:rsid w:val="00CA0254"/>
    <w:rsid w:val="00CA1BBE"/>
    <w:rsid w:val="00CB3744"/>
    <w:rsid w:val="00CC1DDB"/>
    <w:rsid w:val="00CC3D8D"/>
    <w:rsid w:val="00CC3EF6"/>
    <w:rsid w:val="00CC71A3"/>
    <w:rsid w:val="00CC7B8C"/>
    <w:rsid w:val="00CE11D5"/>
    <w:rsid w:val="00CF0132"/>
    <w:rsid w:val="00CF1211"/>
    <w:rsid w:val="00CF3FC4"/>
    <w:rsid w:val="00CF4297"/>
    <w:rsid w:val="00CF6F62"/>
    <w:rsid w:val="00D008BE"/>
    <w:rsid w:val="00D03E6A"/>
    <w:rsid w:val="00D06CBB"/>
    <w:rsid w:val="00D07525"/>
    <w:rsid w:val="00D105E2"/>
    <w:rsid w:val="00D21CBC"/>
    <w:rsid w:val="00D223AA"/>
    <w:rsid w:val="00D237A1"/>
    <w:rsid w:val="00D32BDF"/>
    <w:rsid w:val="00D334C3"/>
    <w:rsid w:val="00D368DA"/>
    <w:rsid w:val="00D50CE2"/>
    <w:rsid w:val="00D5252F"/>
    <w:rsid w:val="00D538EC"/>
    <w:rsid w:val="00D55BA5"/>
    <w:rsid w:val="00D57284"/>
    <w:rsid w:val="00D65C5D"/>
    <w:rsid w:val="00D661C5"/>
    <w:rsid w:val="00D7087A"/>
    <w:rsid w:val="00D71A44"/>
    <w:rsid w:val="00D723AA"/>
    <w:rsid w:val="00D73C16"/>
    <w:rsid w:val="00D765F1"/>
    <w:rsid w:val="00D77D91"/>
    <w:rsid w:val="00D832D1"/>
    <w:rsid w:val="00D87968"/>
    <w:rsid w:val="00D91BB7"/>
    <w:rsid w:val="00D97426"/>
    <w:rsid w:val="00DA0208"/>
    <w:rsid w:val="00DA1BB5"/>
    <w:rsid w:val="00DA23C6"/>
    <w:rsid w:val="00DA62D7"/>
    <w:rsid w:val="00DA65E9"/>
    <w:rsid w:val="00DA704A"/>
    <w:rsid w:val="00DB17E9"/>
    <w:rsid w:val="00DB5AEF"/>
    <w:rsid w:val="00DB75DB"/>
    <w:rsid w:val="00DC237B"/>
    <w:rsid w:val="00DD1FB6"/>
    <w:rsid w:val="00DD3D94"/>
    <w:rsid w:val="00DD53BE"/>
    <w:rsid w:val="00DD5786"/>
    <w:rsid w:val="00DD5CCE"/>
    <w:rsid w:val="00DD66C4"/>
    <w:rsid w:val="00DF1043"/>
    <w:rsid w:val="00DF46CB"/>
    <w:rsid w:val="00E026EF"/>
    <w:rsid w:val="00E03C7B"/>
    <w:rsid w:val="00E120C3"/>
    <w:rsid w:val="00E129ED"/>
    <w:rsid w:val="00E12D53"/>
    <w:rsid w:val="00E268DF"/>
    <w:rsid w:val="00E2750F"/>
    <w:rsid w:val="00E33268"/>
    <w:rsid w:val="00E343C1"/>
    <w:rsid w:val="00E3451E"/>
    <w:rsid w:val="00E377F3"/>
    <w:rsid w:val="00E433C1"/>
    <w:rsid w:val="00E45A3B"/>
    <w:rsid w:val="00E55855"/>
    <w:rsid w:val="00E55CBF"/>
    <w:rsid w:val="00E71C9F"/>
    <w:rsid w:val="00E73027"/>
    <w:rsid w:val="00E75C12"/>
    <w:rsid w:val="00E77B71"/>
    <w:rsid w:val="00E81098"/>
    <w:rsid w:val="00E94839"/>
    <w:rsid w:val="00E9510D"/>
    <w:rsid w:val="00EA09CF"/>
    <w:rsid w:val="00EA0BD5"/>
    <w:rsid w:val="00EA26E5"/>
    <w:rsid w:val="00EA2A09"/>
    <w:rsid w:val="00EA3CCC"/>
    <w:rsid w:val="00EB0026"/>
    <w:rsid w:val="00EC6184"/>
    <w:rsid w:val="00EC64DC"/>
    <w:rsid w:val="00EC7DC5"/>
    <w:rsid w:val="00ED2285"/>
    <w:rsid w:val="00ED7EEE"/>
    <w:rsid w:val="00EE19A4"/>
    <w:rsid w:val="00EE2C1C"/>
    <w:rsid w:val="00F10606"/>
    <w:rsid w:val="00F22265"/>
    <w:rsid w:val="00F23AE4"/>
    <w:rsid w:val="00F23C34"/>
    <w:rsid w:val="00F2670D"/>
    <w:rsid w:val="00F37943"/>
    <w:rsid w:val="00F37E3D"/>
    <w:rsid w:val="00F50F5B"/>
    <w:rsid w:val="00F57235"/>
    <w:rsid w:val="00F6274C"/>
    <w:rsid w:val="00F660B0"/>
    <w:rsid w:val="00F720C7"/>
    <w:rsid w:val="00F738F9"/>
    <w:rsid w:val="00F85BE6"/>
    <w:rsid w:val="00F86689"/>
    <w:rsid w:val="00F924B5"/>
    <w:rsid w:val="00F932B5"/>
    <w:rsid w:val="00F94B8A"/>
    <w:rsid w:val="00F96344"/>
    <w:rsid w:val="00F97765"/>
    <w:rsid w:val="00FB16DD"/>
    <w:rsid w:val="00FB6CCB"/>
    <w:rsid w:val="00FB72B3"/>
    <w:rsid w:val="00FB79AD"/>
    <w:rsid w:val="00FC4902"/>
    <w:rsid w:val="00FC5D70"/>
    <w:rsid w:val="00FD0776"/>
    <w:rsid w:val="00FD1621"/>
    <w:rsid w:val="00FD677D"/>
    <w:rsid w:val="00FD6F96"/>
    <w:rsid w:val="00FE3477"/>
    <w:rsid w:val="00FE4A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63255"/>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1F7"/>
  </w:style>
  <w:style w:type="paragraph" w:styleId="Heading1">
    <w:name w:val="heading 1"/>
    <w:basedOn w:val="Normal"/>
    <w:next w:val="Normal"/>
    <w:link w:val="Heading1Char"/>
    <w:uiPriority w:val="9"/>
    <w:qFormat/>
    <w:rsid w:val="0058689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B14E0"/>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1567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38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3859"/>
    <w:rPr>
      <w:rFonts w:ascii="Lucida Grande" w:hAnsi="Lucida Grande" w:cs="Lucida Grande"/>
      <w:sz w:val="18"/>
      <w:szCs w:val="18"/>
    </w:rPr>
  </w:style>
  <w:style w:type="paragraph" w:styleId="Revision">
    <w:name w:val="Revision"/>
    <w:hidden/>
    <w:uiPriority w:val="99"/>
    <w:semiHidden/>
    <w:rsid w:val="00523859"/>
    <w:pPr>
      <w:spacing w:after="0" w:line="240" w:lineRule="auto"/>
    </w:pPr>
  </w:style>
  <w:style w:type="paragraph" w:styleId="ListParagraph">
    <w:name w:val="List Paragraph"/>
    <w:basedOn w:val="Normal"/>
    <w:qFormat/>
    <w:rsid w:val="006D3436"/>
    <w:pPr>
      <w:ind w:left="720"/>
      <w:contextualSpacing/>
    </w:pPr>
  </w:style>
  <w:style w:type="character" w:styleId="CommentReference">
    <w:name w:val="annotation reference"/>
    <w:basedOn w:val="DefaultParagraphFont"/>
    <w:uiPriority w:val="99"/>
    <w:semiHidden/>
    <w:unhideWhenUsed/>
    <w:rsid w:val="008B6A8F"/>
    <w:rPr>
      <w:sz w:val="18"/>
      <w:szCs w:val="18"/>
    </w:rPr>
  </w:style>
  <w:style w:type="paragraph" w:styleId="CommentText">
    <w:name w:val="annotation text"/>
    <w:basedOn w:val="Normal"/>
    <w:link w:val="CommentTextChar"/>
    <w:uiPriority w:val="99"/>
    <w:unhideWhenUsed/>
    <w:rsid w:val="008B6A8F"/>
    <w:pPr>
      <w:spacing w:line="240" w:lineRule="auto"/>
    </w:pPr>
    <w:rPr>
      <w:sz w:val="24"/>
      <w:szCs w:val="24"/>
    </w:rPr>
  </w:style>
  <w:style w:type="character" w:customStyle="1" w:styleId="CommentTextChar">
    <w:name w:val="Comment Text Char"/>
    <w:basedOn w:val="DefaultParagraphFont"/>
    <w:link w:val="CommentText"/>
    <w:uiPriority w:val="99"/>
    <w:rsid w:val="008B6A8F"/>
    <w:rPr>
      <w:sz w:val="24"/>
      <w:szCs w:val="24"/>
    </w:rPr>
  </w:style>
  <w:style w:type="paragraph" w:styleId="CommentSubject">
    <w:name w:val="annotation subject"/>
    <w:basedOn w:val="CommentText"/>
    <w:next w:val="CommentText"/>
    <w:link w:val="CommentSubjectChar"/>
    <w:uiPriority w:val="99"/>
    <w:semiHidden/>
    <w:unhideWhenUsed/>
    <w:rsid w:val="008B6A8F"/>
    <w:rPr>
      <w:b/>
      <w:bCs/>
      <w:sz w:val="20"/>
      <w:szCs w:val="20"/>
    </w:rPr>
  </w:style>
  <w:style w:type="character" w:customStyle="1" w:styleId="CommentSubjectChar">
    <w:name w:val="Comment Subject Char"/>
    <w:basedOn w:val="CommentTextChar"/>
    <w:link w:val="CommentSubject"/>
    <w:uiPriority w:val="99"/>
    <w:semiHidden/>
    <w:rsid w:val="008B6A8F"/>
    <w:rPr>
      <w:b/>
      <w:bCs/>
      <w:sz w:val="20"/>
      <w:szCs w:val="20"/>
    </w:rPr>
  </w:style>
  <w:style w:type="paragraph" w:styleId="Header">
    <w:name w:val="header"/>
    <w:basedOn w:val="Normal"/>
    <w:link w:val="HeaderChar"/>
    <w:uiPriority w:val="99"/>
    <w:unhideWhenUsed/>
    <w:rsid w:val="00796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B8B"/>
  </w:style>
  <w:style w:type="paragraph" w:styleId="Footer">
    <w:name w:val="footer"/>
    <w:basedOn w:val="Normal"/>
    <w:link w:val="FooterChar"/>
    <w:uiPriority w:val="99"/>
    <w:unhideWhenUsed/>
    <w:rsid w:val="00796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6B8B"/>
  </w:style>
  <w:style w:type="paragraph" w:styleId="NoSpacing">
    <w:name w:val="No Spacing"/>
    <w:aliases w:val="Title 1"/>
    <w:link w:val="NoSpacingChar"/>
    <w:uiPriority w:val="1"/>
    <w:qFormat/>
    <w:rsid w:val="004A5214"/>
    <w:pPr>
      <w:spacing w:after="0" w:line="240" w:lineRule="auto"/>
    </w:pPr>
    <w:rPr>
      <w:rFonts w:ascii="Times New Roman" w:eastAsia="Calibri" w:hAnsi="Times New Roman" w:cs="Times New Roman"/>
      <w:b/>
      <w:color w:val="0070C0"/>
      <w:sz w:val="20"/>
    </w:rPr>
  </w:style>
  <w:style w:type="paragraph" w:customStyle="1" w:styleId="Tableofcontent1">
    <w:name w:val="Table of content 1"/>
    <w:basedOn w:val="NoSpacing"/>
    <w:link w:val="Tableofcontent1Char"/>
    <w:qFormat/>
    <w:rsid w:val="00DD5786"/>
    <w:pPr>
      <w:widowControl w:val="0"/>
    </w:pPr>
    <w:rPr>
      <w:rFonts w:ascii="Segoe UI" w:eastAsia="Times New Roman" w:hAnsi="Segoe UI"/>
      <w:snapToGrid w:val="0"/>
      <w:color w:val="auto"/>
      <w:sz w:val="24"/>
      <w:szCs w:val="24"/>
      <w:u w:val="single"/>
    </w:rPr>
  </w:style>
  <w:style w:type="character" w:customStyle="1" w:styleId="Tableofcontent1Char">
    <w:name w:val="Table of content 1 Char"/>
    <w:basedOn w:val="DefaultParagraphFont"/>
    <w:link w:val="Tableofcontent1"/>
    <w:rsid w:val="00DD5786"/>
    <w:rPr>
      <w:rFonts w:ascii="Segoe UI" w:eastAsia="Times New Roman" w:hAnsi="Segoe UI" w:cs="Times New Roman"/>
      <w:b/>
      <w:snapToGrid w:val="0"/>
      <w:sz w:val="24"/>
      <w:szCs w:val="24"/>
      <w:u w:val="single"/>
    </w:rPr>
  </w:style>
  <w:style w:type="paragraph" w:customStyle="1" w:styleId="HeadingA">
    <w:name w:val="Heading A"/>
    <w:basedOn w:val="Heading1"/>
    <w:qFormat/>
    <w:rsid w:val="0058689E"/>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58689E"/>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Title 1 Char"/>
    <w:basedOn w:val="DefaultParagraphFont"/>
    <w:link w:val="NoSpacing"/>
    <w:uiPriority w:val="1"/>
    <w:locked/>
    <w:rsid w:val="00612F34"/>
    <w:rPr>
      <w:rFonts w:ascii="Times New Roman" w:eastAsia="Calibri" w:hAnsi="Times New Roman" w:cs="Times New Roman"/>
      <w:b/>
      <w:color w:val="0070C0"/>
      <w:sz w:val="20"/>
    </w:rPr>
  </w:style>
  <w:style w:type="paragraph" w:customStyle="1" w:styleId="ColorfulList-Accent11">
    <w:name w:val="Colorful List - Accent 11"/>
    <w:basedOn w:val="Normal"/>
    <w:uiPriority w:val="34"/>
    <w:qFormat/>
    <w:rsid w:val="00612F34"/>
    <w:pPr>
      <w:spacing w:after="0" w:line="240" w:lineRule="auto"/>
      <w:ind w:left="720"/>
      <w:contextualSpacing/>
    </w:pPr>
    <w:rPr>
      <w:rFonts w:ascii="Cambria" w:eastAsia="MS Mincho" w:hAnsi="Cambria" w:cs="Times New Roman"/>
      <w:sz w:val="24"/>
      <w:szCs w:val="24"/>
    </w:rPr>
  </w:style>
  <w:style w:type="table" w:customStyle="1" w:styleId="TableGrid1">
    <w:name w:val="Table Grid1"/>
    <w:basedOn w:val="TableNormal"/>
    <w:next w:val="TableGrid"/>
    <w:uiPriority w:val="59"/>
    <w:rsid w:val="008C43A9"/>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44D282-DF62-47A3-A117-347D0643F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414030-109A-4645-9ED0-39F687842956}">
  <ds:schemaRefs>
    <ds:schemaRef ds:uri="http://schemas.openxmlformats.org/officeDocument/2006/bibliography"/>
  </ds:schemaRefs>
</ds:datastoreItem>
</file>

<file path=customXml/itemProps3.xml><?xml version="1.0" encoding="utf-8"?>
<ds:datastoreItem xmlns:ds="http://schemas.openxmlformats.org/officeDocument/2006/customXml" ds:itemID="{092914A7-A783-4D18-A310-4E6250E61B01}">
  <ds:schemaRefs>
    <ds:schemaRef ds:uri="http://schemas.microsoft.com/sharepoint/v3/contenttype/forms"/>
  </ds:schemaRefs>
</ds:datastoreItem>
</file>

<file path=customXml/itemProps4.xml><?xml version="1.0" encoding="utf-8"?>
<ds:datastoreItem xmlns:ds="http://schemas.openxmlformats.org/officeDocument/2006/customXml" ds:itemID="{D7548C70-5714-4049-8919-576A4BD8C6C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11</Pages>
  <Words>2130</Words>
  <Characters>12547</Characters>
  <Application>Microsoft Office Word</Application>
  <DocSecurity>0</DocSecurity>
  <Lines>570</Lines>
  <Paragraphs>183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22</cp:revision>
  <cp:lastPrinted>2015-08-21T12:31:00Z</cp:lastPrinted>
  <dcterms:created xsi:type="dcterms:W3CDTF">2022-10-19T19:25:00Z</dcterms:created>
  <dcterms:modified xsi:type="dcterms:W3CDTF">2026-04-29T16:31:00Z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